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A61A" w14:textId="21A12D0C" w:rsidR="00202BF1" w:rsidRDefault="008A1F69" w:rsidP="00816DC0">
      <w:pPr>
        <w:rPr>
          <w:rFonts w:eastAsia="Arial"/>
          <w:sz w:val="8"/>
          <w:szCs w:val="8"/>
        </w:rPr>
      </w:pPr>
      <w:r>
        <w:rPr>
          <w:b/>
          <w:sz w:val="32"/>
        </w:rPr>
        <w:t xml:space="preserve">Salon </w:t>
      </w:r>
      <w:r w:rsidR="005C2E0F">
        <w:rPr>
          <w:b/>
          <w:sz w:val="32"/>
        </w:rPr>
        <w:t>Architect@work</w:t>
      </w:r>
      <w:r>
        <w:rPr>
          <w:b/>
          <w:sz w:val="32"/>
        </w:rPr>
        <w:t xml:space="preserve"> 2023 : </w:t>
      </w:r>
      <w:r w:rsidR="005C2E0F">
        <w:rPr>
          <w:b/>
          <w:sz w:val="32"/>
        </w:rPr>
        <w:t>l’innovation qui absorbe le son</w:t>
      </w:r>
      <w:r w:rsidR="0077554A">
        <w:rPr>
          <w:b/>
          <w:sz w:val="32"/>
        </w:rPr>
        <w:t> !</w:t>
      </w:r>
      <w:r w:rsidR="00331604">
        <w:rPr>
          <w:b/>
          <w:sz w:val="32"/>
        </w:rPr>
        <w:br/>
      </w:r>
      <w:r w:rsidR="0041388D">
        <w:br/>
      </w:r>
      <w:r w:rsidR="00816DC0">
        <w:t>La 16ème édition du salon Architect@work a lieu à Paris - à la Grande Halle de la Villette - du 8 au 9 novembre. Le thème 2023 est celui des défis, avec pas moins de 800 nouveautés présentées</w:t>
      </w:r>
      <w:r w:rsidR="00731F7E">
        <w:t xml:space="preserve">. </w:t>
      </w:r>
      <w:r w:rsidR="00665B20">
        <w:t>Cette année, Häfele accueille les visiteurs</w:t>
      </w:r>
      <w:r w:rsidR="00816DC0">
        <w:t xml:space="preserve"> sur le Corner 34</w:t>
      </w:r>
      <w:r w:rsidR="00665B20">
        <w:t xml:space="preserve"> </w:t>
      </w:r>
      <w:r w:rsidR="00816DC0">
        <w:t xml:space="preserve">pour </w:t>
      </w:r>
      <w:r w:rsidR="00665B20">
        <w:t xml:space="preserve">présenter </w:t>
      </w:r>
      <w:r w:rsidR="00816DC0">
        <w:t>l’innovation Rossoacoustic Disc'n Dots</w:t>
      </w:r>
      <w:r w:rsidR="00E4302C">
        <w:t xml:space="preserve">, </w:t>
      </w:r>
      <w:r w:rsidR="00E4302C" w:rsidRPr="00E4302C">
        <w:t>un système acoustique modulaire abordable</w:t>
      </w:r>
      <w:r w:rsidR="00DF231C">
        <w:t>.</w:t>
      </w:r>
      <w:r w:rsidR="00331604">
        <w:br/>
      </w:r>
      <w:r w:rsidR="00331604">
        <w:rPr>
          <w:sz w:val="8"/>
        </w:rPr>
        <w:br/>
      </w:r>
    </w:p>
    <w:tbl>
      <w:tblPr>
        <w:tblStyle w:val="TableSimple1"/>
        <w:tblW w:w="5000" w:type="pct"/>
        <w:jc w:val="center"/>
        <w:tblLayout w:type="fixed"/>
        <w:tblCellMar>
          <w:left w:w="0" w:type="dxa"/>
          <w:right w:w="227" w:type="dxa"/>
        </w:tblCellMar>
        <w:tblLook w:val="04A0" w:firstRow="1" w:lastRow="0" w:firstColumn="1" w:lastColumn="0" w:noHBand="0" w:noVBand="1"/>
      </w:tblPr>
      <w:tblGrid>
        <w:gridCol w:w="9752"/>
      </w:tblGrid>
      <w:tr w:rsidR="00202BF1" w14:paraId="5D7AA61C" w14:textId="77777777">
        <w:trPr>
          <w:jc w:val="center"/>
        </w:trPr>
        <w:tc>
          <w:tcPr>
            <w:tcW w:w="5000" w:type="pct"/>
            <w:tcBorders>
              <w:top w:val="nil"/>
              <w:left w:val="nil"/>
              <w:bottom w:val="nil"/>
              <w:right w:val="nil"/>
            </w:tcBorders>
            <w:shd w:val="clear" w:color="auto" w:fill="auto"/>
            <w:tcMar>
              <w:top w:w="0" w:type="dxa"/>
              <w:left w:w="0" w:type="dxa"/>
              <w:bottom w:w="0" w:type="dxa"/>
              <w:right w:w="227" w:type="dxa"/>
            </w:tcMar>
          </w:tcPr>
          <w:p w14:paraId="5D7AA61B" w14:textId="77777777" w:rsidR="00202BF1" w:rsidRDefault="00331604">
            <w:pPr>
              <w:rPr>
                <w:sz w:val="18"/>
                <w:szCs w:val="18"/>
              </w:rPr>
            </w:pPr>
            <w:r>
              <w:rPr>
                <w:noProof/>
                <w:sz w:val="18"/>
              </w:rPr>
              <w:drawing>
                <wp:inline distT="0" distB="0" distL="0" distR="0" wp14:anchorId="5D7AA679" wp14:editId="166BBE2C">
                  <wp:extent cx="3241720" cy="243129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241720" cy="2431290"/>
                          </a:xfrm>
                          <a:prstGeom prst="rect">
                            <a:avLst/>
                          </a:prstGeom>
                        </pic:spPr>
                      </pic:pic>
                    </a:graphicData>
                  </a:graphic>
                </wp:inline>
              </w:drawing>
            </w:r>
          </w:p>
        </w:tc>
      </w:tr>
    </w:tbl>
    <w:p w14:paraId="5D7AA61D" w14:textId="77777777" w:rsidR="00202BF1" w:rsidRDefault="00331604">
      <w:pPr>
        <w:rPr>
          <w:sz w:val="8"/>
          <w:szCs w:val="8"/>
        </w:rPr>
      </w:pPr>
      <w:r>
        <w:rPr>
          <w:sz w:val="8"/>
        </w:rPr>
        <w:br/>
      </w:r>
    </w:p>
    <w:tbl>
      <w:tblPr>
        <w:tblStyle w:val="TableSimple1"/>
        <w:tblW w:w="6229" w:type="pct"/>
        <w:tblLayout w:type="fixed"/>
        <w:tblCellMar>
          <w:left w:w="0" w:type="dxa"/>
          <w:right w:w="227" w:type="dxa"/>
        </w:tblCellMar>
        <w:tblLook w:val="04A0" w:firstRow="1" w:lastRow="0" w:firstColumn="1" w:lastColumn="0" w:noHBand="0" w:noVBand="1"/>
      </w:tblPr>
      <w:tblGrid>
        <w:gridCol w:w="3414"/>
        <w:gridCol w:w="3414"/>
        <w:gridCol w:w="5321"/>
      </w:tblGrid>
      <w:tr w:rsidR="00202BF1" w14:paraId="5D7AA630" w14:textId="77777777" w:rsidTr="00830A78">
        <w:tc>
          <w:tcPr>
            <w:tcW w:w="2809" w:type="pct"/>
            <w:gridSpan w:val="2"/>
            <w:tcBorders>
              <w:top w:val="nil"/>
              <w:left w:val="nil"/>
              <w:bottom w:val="nil"/>
              <w:right w:val="nil"/>
            </w:tcBorders>
            <w:shd w:val="clear" w:color="auto" w:fill="auto"/>
            <w:tcMar>
              <w:top w:w="0" w:type="dxa"/>
              <w:left w:w="0" w:type="dxa"/>
              <w:bottom w:w="0" w:type="dxa"/>
              <w:right w:w="227" w:type="dxa"/>
            </w:tcMar>
          </w:tcPr>
          <w:p w14:paraId="7D3B9165" w14:textId="77777777" w:rsidR="00B17D77" w:rsidRDefault="00B06F2B" w:rsidP="00297CE4">
            <w:pPr>
              <w:spacing w:after="240"/>
              <w:rPr>
                <w:sz w:val="20"/>
              </w:rPr>
            </w:pPr>
            <w:r w:rsidRPr="00B06F2B">
              <w:rPr>
                <w:sz w:val="20"/>
              </w:rPr>
              <w:t>Disc'n Dots</w:t>
            </w:r>
            <w:r>
              <w:rPr>
                <w:sz w:val="20"/>
              </w:rPr>
              <w:t xml:space="preserve"> est </w:t>
            </w:r>
            <w:r w:rsidR="00062217" w:rsidRPr="00062217">
              <w:rPr>
                <w:sz w:val="20"/>
              </w:rPr>
              <w:t>un système acoustique modulaire abordable pour des univers sonores agréables dans les bureaux, salles de réunion, réceptions et dans les espaces de restauration.</w:t>
            </w:r>
          </w:p>
          <w:p w14:paraId="1142DC54" w14:textId="45CDA4E4" w:rsidR="00B03B5B" w:rsidRDefault="00062217" w:rsidP="00297CE4">
            <w:pPr>
              <w:spacing w:after="240"/>
              <w:rPr>
                <w:sz w:val="20"/>
              </w:rPr>
            </w:pPr>
            <w:r w:rsidRPr="00062217">
              <w:rPr>
                <w:sz w:val="20"/>
              </w:rPr>
              <w:t>Il offre une expérience sonore optimale, à l’aide d’éléments simples et efficaces : un « Disc » pour l’absorption du son, un « Dot » pour la fixation. Différentes formes, couleurs et tailles permettent un design judicieux.</w:t>
            </w:r>
          </w:p>
          <w:p w14:paraId="04787A76" w14:textId="319E3F7C" w:rsidR="00062217" w:rsidRDefault="00B17D77" w:rsidP="00B17D77">
            <w:pPr>
              <w:spacing w:after="240"/>
              <w:rPr>
                <w:sz w:val="20"/>
              </w:rPr>
            </w:pPr>
            <w:r w:rsidRPr="00B17D77">
              <w:rPr>
                <w:sz w:val="20"/>
              </w:rPr>
              <w:t>Le nouveau système de la marque Rossoacoustic de Häfele offre une solution acoustique simple, facile à monter et visuellement attrayante. Lors de la phase de planification, il permet de créer facilement une bonne acoustique de la pièce, et ce même lors d'une rénovation dans les bâtiments existants.</w:t>
            </w:r>
            <w:r w:rsidR="006A68C9">
              <w:rPr>
                <w:sz w:val="20"/>
              </w:rPr>
              <w:t xml:space="preserve"> </w:t>
            </w:r>
            <w:r w:rsidRPr="00B17D77">
              <w:rPr>
                <w:sz w:val="20"/>
              </w:rPr>
              <w:t>Les Disc’n Dots, de différentes épaisseurs et de différents rayons, forment des structures ou des groupements libres qui peuvent être montés au mur ou suspendus directement sous le plafond.</w:t>
            </w:r>
            <w:r w:rsidR="006A68C9">
              <w:rPr>
                <w:sz w:val="20"/>
              </w:rPr>
              <w:t xml:space="preserve"> </w:t>
            </w:r>
            <w:r w:rsidRPr="00B17D77">
              <w:rPr>
                <w:sz w:val="20"/>
              </w:rPr>
              <w:t>Ils sont personnalisables, disponibles en différentes formes, couleurs et tailles.</w:t>
            </w:r>
          </w:p>
          <w:p w14:paraId="5CDD9B46" w14:textId="19DF6261" w:rsidR="00642104" w:rsidRPr="00C51B22" w:rsidRDefault="00642104" w:rsidP="00B17D77">
            <w:pPr>
              <w:spacing w:after="240"/>
              <w:rPr>
                <w:b/>
                <w:bCs/>
                <w:sz w:val="22"/>
                <w:szCs w:val="28"/>
              </w:rPr>
            </w:pPr>
            <w:r w:rsidRPr="00C51B22">
              <w:rPr>
                <w:b/>
                <w:bCs/>
                <w:sz w:val="22"/>
                <w:szCs w:val="28"/>
              </w:rPr>
              <w:t>L’acoustique</w:t>
            </w:r>
          </w:p>
          <w:p w14:paraId="2C2BDE89" w14:textId="52F4B43F" w:rsidR="00956373" w:rsidRPr="00956373" w:rsidRDefault="00956373" w:rsidP="00956373">
            <w:pPr>
              <w:spacing w:after="240"/>
              <w:rPr>
                <w:sz w:val="20"/>
              </w:rPr>
            </w:pPr>
            <w:r>
              <w:rPr>
                <w:sz w:val="20"/>
              </w:rPr>
              <w:t>Deux</w:t>
            </w:r>
            <w:r w:rsidRPr="00956373">
              <w:rPr>
                <w:sz w:val="20"/>
              </w:rPr>
              <w:t xml:space="preserve"> éléments simples et efficaces</w:t>
            </w:r>
            <w:r>
              <w:rPr>
                <w:sz w:val="20"/>
              </w:rPr>
              <w:t xml:space="preserve">. </w:t>
            </w:r>
            <w:r w:rsidRPr="00956373">
              <w:rPr>
                <w:sz w:val="20"/>
              </w:rPr>
              <w:t xml:space="preserve">Le composant de base est le « </w:t>
            </w:r>
            <w:r w:rsidR="001D3B80" w:rsidRPr="00956373">
              <w:rPr>
                <w:sz w:val="20"/>
              </w:rPr>
              <w:t>Disc</w:t>
            </w:r>
            <w:r w:rsidR="001D3B80">
              <w:rPr>
                <w:sz w:val="20"/>
              </w:rPr>
              <w:t xml:space="preserve"> </w:t>
            </w:r>
            <w:r w:rsidR="001D3B80" w:rsidRPr="00956373">
              <w:rPr>
                <w:sz w:val="20"/>
              </w:rPr>
              <w:t>»</w:t>
            </w:r>
            <w:r>
              <w:rPr>
                <w:sz w:val="20"/>
              </w:rPr>
              <w:t>, dont le</w:t>
            </w:r>
            <w:r w:rsidRPr="00956373">
              <w:rPr>
                <w:sz w:val="20"/>
              </w:rPr>
              <w:t xml:space="preserve"> matériau en feutre est disponible en gris ou en blanc</w:t>
            </w:r>
            <w:r>
              <w:rPr>
                <w:sz w:val="20"/>
              </w:rPr>
              <w:t xml:space="preserve">. Il </w:t>
            </w:r>
            <w:r w:rsidRPr="00956373">
              <w:rPr>
                <w:sz w:val="20"/>
              </w:rPr>
              <w:t>assure une absorption acoustique optimale.</w:t>
            </w:r>
            <w:r w:rsidR="001C5CD9">
              <w:rPr>
                <w:sz w:val="20"/>
              </w:rPr>
              <w:t xml:space="preserve"> </w:t>
            </w:r>
            <w:r w:rsidRPr="00956373">
              <w:rPr>
                <w:sz w:val="20"/>
              </w:rPr>
              <w:t xml:space="preserve">Le composant complémentaire est le </w:t>
            </w:r>
            <w:r w:rsidRPr="00956373">
              <w:rPr>
                <w:sz w:val="20"/>
              </w:rPr>
              <w:lastRenderedPageBreak/>
              <w:t>« Dot »</w:t>
            </w:r>
            <w:r w:rsidR="008E04D3">
              <w:rPr>
                <w:sz w:val="20"/>
              </w:rPr>
              <w:t xml:space="preserve">, qui est </w:t>
            </w:r>
            <w:r w:rsidRPr="00956373">
              <w:rPr>
                <w:sz w:val="20"/>
              </w:rPr>
              <w:t>utilisé pour une fixation simple au mur ou au plafond, il apporte des touches de couleur captivantes.</w:t>
            </w:r>
          </w:p>
          <w:p w14:paraId="1C6F4F74" w14:textId="78009CA0" w:rsidR="00956373" w:rsidRPr="00956373" w:rsidRDefault="00956373" w:rsidP="00956373">
            <w:pPr>
              <w:spacing w:after="240"/>
              <w:rPr>
                <w:sz w:val="20"/>
              </w:rPr>
            </w:pPr>
            <w:r w:rsidRPr="00956373">
              <w:rPr>
                <w:sz w:val="20"/>
              </w:rPr>
              <w:t>Ensemble, ils créent une atmosphère acoustique agréable dans les pièces et les espaces, ainsi qu'un sentiment de bien-être accru.</w:t>
            </w:r>
          </w:p>
          <w:p w14:paraId="7367997B" w14:textId="7547C9AA" w:rsidR="00062217" w:rsidRDefault="00956373" w:rsidP="00956373">
            <w:pPr>
              <w:spacing w:after="240"/>
              <w:rPr>
                <w:sz w:val="20"/>
              </w:rPr>
            </w:pPr>
            <w:r w:rsidRPr="00956373">
              <w:rPr>
                <w:sz w:val="20"/>
              </w:rPr>
              <w:t>Le tissu spécial feutré contient de nombreuses petites poches dans lesquelles les réflexions sonores indésirables viennent épuiser toute leur énergie.</w:t>
            </w:r>
          </w:p>
          <w:p w14:paraId="5E98F474" w14:textId="6FB068CC" w:rsidR="00062217" w:rsidRDefault="00421076" w:rsidP="00297CE4">
            <w:pPr>
              <w:spacing w:after="240"/>
              <w:rPr>
                <w:sz w:val="20"/>
              </w:rPr>
            </w:pPr>
            <w:r>
              <w:rPr>
                <w:sz w:val="20"/>
              </w:rPr>
              <w:t>L’avaleur de son</w:t>
            </w:r>
            <w:r w:rsidR="00E773CA">
              <w:rPr>
                <w:sz w:val="20"/>
              </w:rPr>
              <w:t xml:space="preserve"> par excellence.</w:t>
            </w:r>
            <w:r w:rsidR="00B15B8F">
              <w:rPr>
                <w:sz w:val="20"/>
              </w:rPr>
              <w:t xml:space="preserve"> </w:t>
            </w:r>
            <w:r w:rsidR="00B15B8F" w:rsidRPr="00B15B8F">
              <w:rPr>
                <w:sz w:val="20"/>
              </w:rPr>
              <w:t>Les surfaces dures qui entourent les pièces réfléchissent les ondes sonores sans réduire de manière significative leur niveau d'énergie. Cela crée un mélange de sons directs et de nombreuses réflexions sonores différées dans une pièce acoustiquement dure - la réverbération s'ensuit.</w:t>
            </w:r>
            <w:r w:rsidR="00EF50DC">
              <w:t xml:space="preserve"> </w:t>
            </w:r>
            <w:r w:rsidR="00EF50DC" w:rsidRPr="00EF50DC">
              <w:rPr>
                <w:sz w:val="20"/>
              </w:rPr>
              <w:t>Cela nuit à l'intelligibilité de la parole, le niveau de bruit perturbateur dans la pièce augmente et la concentration en pâtit.</w:t>
            </w:r>
            <w:r w:rsidR="00EF50DC">
              <w:rPr>
                <w:sz w:val="20"/>
              </w:rPr>
              <w:t xml:space="preserve"> </w:t>
            </w:r>
            <w:r w:rsidR="00990580" w:rsidRPr="00990580">
              <w:rPr>
                <w:sz w:val="20"/>
              </w:rPr>
              <w:t xml:space="preserve">Les absorbeurs </w:t>
            </w:r>
            <w:r w:rsidR="00860FB7">
              <w:rPr>
                <w:sz w:val="20"/>
              </w:rPr>
              <w:t xml:space="preserve">« Disc’n Dots » </w:t>
            </w:r>
            <w:r w:rsidR="00990580" w:rsidRPr="00990580">
              <w:rPr>
                <w:sz w:val="20"/>
              </w:rPr>
              <w:t>suspendus au plafond ou fixés au mur sont un moyen fiable d'éviter les réflexions sur les surfaces acoustiquement dures.</w:t>
            </w:r>
            <w:r w:rsidR="00990580">
              <w:rPr>
                <w:sz w:val="20"/>
              </w:rPr>
              <w:t xml:space="preserve"> </w:t>
            </w:r>
          </w:p>
          <w:p w14:paraId="313C8592" w14:textId="362B4660" w:rsidR="00062217" w:rsidRDefault="003A34B2" w:rsidP="00297CE4">
            <w:pPr>
              <w:spacing w:after="240"/>
              <w:rPr>
                <w:sz w:val="20"/>
              </w:rPr>
            </w:pPr>
            <w:r w:rsidRPr="003A34B2">
              <w:rPr>
                <w:sz w:val="20"/>
              </w:rPr>
              <w:t xml:space="preserve">Les </w:t>
            </w:r>
            <w:r w:rsidR="00DE3C41">
              <w:rPr>
                <w:sz w:val="20"/>
              </w:rPr>
              <w:t>modules</w:t>
            </w:r>
            <w:r w:rsidRPr="003A34B2">
              <w:rPr>
                <w:sz w:val="20"/>
              </w:rPr>
              <w:t xml:space="preserve"> Rossoacoustic sont disponibles dans des épaisseurs de 50 </w:t>
            </w:r>
            <w:r w:rsidR="004753E3">
              <w:rPr>
                <w:sz w:val="20"/>
              </w:rPr>
              <w:t>mm - d</w:t>
            </w:r>
            <w:r w:rsidR="004753E3" w:rsidRPr="004753E3">
              <w:rPr>
                <w:sz w:val="20"/>
              </w:rPr>
              <w:t xml:space="preserve">es niveaux d'efficacité élevés pour un large éventail d'utilisations </w:t>
            </w:r>
            <w:r w:rsidR="004753E3">
              <w:rPr>
                <w:sz w:val="20"/>
              </w:rPr>
              <w:t xml:space="preserve">- </w:t>
            </w:r>
            <w:r w:rsidRPr="003A34B2">
              <w:rPr>
                <w:sz w:val="20"/>
              </w:rPr>
              <w:t xml:space="preserve">et 25 mm </w:t>
            </w:r>
            <w:r w:rsidR="001A4E7B">
              <w:rPr>
                <w:sz w:val="20"/>
              </w:rPr>
              <w:t>- l</w:t>
            </w:r>
            <w:r w:rsidR="001A4E7B" w:rsidRPr="001A4E7B">
              <w:rPr>
                <w:sz w:val="20"/>
              </w:rPr>
              <w:t>e tissu fin pour les hautes fréquences</w:t>
            </w:r>
            <w:r w:rsidR="001A4E7B">
              <w:rPr>
                <w:sz w:val="20"/>
              </w:rPr>
              <w:t xml:space="preserve"> - </w:t>
            </w:r>
            <w:r w:rsidRPr="003A34B2">
              <w:rPr>
                <w:sz w:val="20"/>
              </w:rPr>
              <w:t>et répondent ainsi à la classe d'absorption acoustique</w:t>
            </w:r>
            <w:r w:rsidR="0013704D">
              <w:rPr>
                <w:sz w:val="20"/>
              </w:rPr>
              <w:t xml:space="preserve"> A</w:t>
            </w:r>
            <w:r w:rsidR="001A4E7B">
              <w:rPr>
                <w:sz w:val="20"/>
              </w:rPr>
              <w:t>.</w:t>
            </w:r>
            <w:r w:rsidR="0013704D">
              <w:rPr>
                <w:sz w:val="20"/>
              </w:rPr>
              <w:br/>
            </w:r>
            <w:r w:rsidR="001A4E7B">
              <w:rPr>
                <w:sz w:val="20"/>
              </w:rPr>
              <w:t>N</w:t>
            </w:r>
            <w:r w:rsidRPr="003A34B2">
              <w:rPr>
                <w:sz w:val="20"/>
              </w:rPr>
              <w:t xml:space="preserve">os spécialistes de l'acoustique </w:t>
            </w:r>
            <w:r w:rsidR="001A4E7B">
              <w:rPr>
                <w:sz w:val="20"/>
              </w:rPr>
              <w:t>sont là</w:t>
            </w:r>
            <w:r w:rsidR="00FD3BD0">
              <w:rPr>
                <w:sz w:val="20"/>
              </w:rPr>
              <w:t xml:space="preserve"> pour</w:t>
            </w:r>
            <w:r w:rsidRPr="003A34B2">
              <w:rPr>
                <w:sz w:val="20"/>
              </w:rPr>
              <w:t xml:space="preserve"> conseiller sur l'équilibre parfait de l'acoustique de</w:t>
            </w:r>
            <w:r w:rsidR="00FD3BD0">
              <w:rPr>
                <w:sz w:val="20"/>
              </w:rPr>
              <w:t>s espaces.</w:t>
            </w:r>
          </w:p>
          <w:p w14:paraId="3E70FAC4" w14:textId="62CC72D3" w:rsidR="00C51B22" w:rsidRPr="00C51B22" w:rsidRDefault="00602730" w:rsidP="00C51B22">
            <w:pPr>
              <w:spacing w:after="240"/>
              <w:rPr>
                <w:b/>
                <w:bCs/>
                <w:sz w:val="22"/>
                <w:szCs w:val="28"/>
              </w:rPr>
            </w:pPr>
            <w:r>
              <w:rPr>
                <w:b/>
                <w:bCs/>
                <w:sz w:val="22"/>
                <w:szCs w:val="28"/>
              </w:rPr>
              <w:t>Le d</w:t>
            </w:r>
            <w:r w:rsidR="00A871EA">
              <w:rPr>
                <w:b/>
                <w:bCs/>
                <w:sz w:val="22"/>
                <w:szCs w:val="28"/>
              </w:rPr>
              <w:t>esign</w:t>
            </w:r>
          </w:p>
          <w:p w14:paraId="6B652570" w14:textId="1037C1DA" w:rsidR="00056BE2" w:rsidRDefault="00935862" w:rsidP="00A871EA">
            <w:pPr>
              <w:spacing w:after="240"/>
              <w:rPr>
                <w:sz w:val="20"/>
              </w:rPr>
            </w:pPr>
            <w:r>
              <w:rPr>
                <w:sz w:val="20"/>
              </w:rPr>
              <w:t xml:space="preserve">Les deux éléments qui constituent les Disc’n dots se déclinent en </w:t>
            </w:r>
            <w:r w:rsidR="00A871EA" w:rsidRPr="00A871EA">
              <w:rPr>
                <w:sz w:val="20"/>
              </w:rPr>
              <w:t>4 formes et 8 couleurs</w:t>
            </w:r>
            <w:r>
              <w:rPr>
                <w:sz w:val="20"/>
              </w:rPr>
              <w:t>.</w:t>
            </w:r>
            <w:r>
              <w:rPr>
                <w:sz w:val="20"/>
              </w:rPr>
              <w:br/>
            </w:r>
            <w:r w:rsidR="00A871EA" w:rsidRPr="00A871EA">
              <w:rPr>
                <w:sz w:val="20"/>
              </w:rPr>
              <w:t>Qu</w:t>
            </w:r>
            <w:r w:rsidR="00E95B70">
              <w:rPr>
                <w:sz w:val="20"/>
              </w:rPr>
              <w:t>e le module</w:t>
            </w:r>
            <w:r w:rsidR="00A871EA" w:rsidRPr="00A871EA">
              <w:rPr>
                <w:sz w:val="20"/>
              </w:rPr>
              <w:t xml:space="preserve"> soit rond</w:t>
            </w:r>
            <w:r w:rsidR="00CE5038">
              <w:rPr>
                <w:sz w:val="20"/>
              </w:rPr>
              <w:t xml:space="preserve"> (</w:t>
            </w:r>
            <w:r w:rsidR="00980674">
              <w:rPr>
                <w:sz w:val="20"/>
              </w:rPr>
              <w:t>modèle R 600)</w:t>
            </w:r>
            <w:r w:rsidR="00A871EA" w:rsidRPr="00A871EA">
              <w:rPr>
                <w:sz w:val="20"/>
              </w:rPr>
              <w:t>, ovale</w:t>
            </w:r>
            <w:r w:rsidR="00980674">
              <w:rPr>
                <w:sz w:val="20"/>
              </w:rPr>
              <w:t xml:space="preserve"> (modèle R600 double)</w:t>
            </w:r>
            <w:r w:rsidR="00A871EA" w:rsidRPr="00A871EA">
              <w:rPr>
                <w:sz w:val="20"/>
              </w:rPr>
              <w:t xml:space="preserve">, carré </w:t>
            </w:r>
            <w:r w:rsidR="00980674">
              <w:rPr>
                <w:sz w:val="20"/>
              </w:rPr>
              <w:t xml:space="preserve">(modèle Q 600) </w:t>
            </w:r>
            <w:r w:rsidR="00A871EA" w:rsidRPr="00A871EA">
              <w:rPr>
                <w:sz w:val="20"/>
              </w:rPr>
              <w:t>ou rectangulaire</w:t>
            </w:r>
            <w:r w:rsidR="00980674">
              <w:rPr>
                <w:sz w:val="20"/>
              </w:rPr>
              <w:t xml:space="preserve"> (modèle Q 600 double)</w:t>
            </w:r>
            <w:r w:rsidR="00A871EA" w:rsidRPr="00A871EA">
              <w:rPr>
                <w:sz w:val="20"/>
              </w:rPr>
              <w:t>, chaque « Disc » peut être personnalisé pour s'adapter à l’espace.</w:t>
            </w:r>
            <w:r>
              <w:rPr>
                <w:sz w:val="20"/>
              </w:rPr>
              <w:br/>
            </w:r>
            <w:r w:rsidR="00A871EA" w:rsidRPr="00A871EA">
              <w:rPr>
                <w:sz w:val="20"/>
              </w:rPr>
              <w:t>En combinaison avec les « Dots », les différentes formes et épaisseurs des disques confèrent une élégance particulière pour un effet total.</w:t>
            </w:r>
            <w:r w:rsidR="003D04E8">
              <w:rPr>
                <w:sz w:val="20"/>
              </w:rPr>
              <w:t xml:space="preserve"> </w:t>
            </w:r>
            <w:r w:rsidR="009D4BD3">
              <w:rPr>
                <w:sz w:val="20"/>
              </w:rPr>
              <w:br/>
            </w:r>
            <w:r w:rsidR="00A871EA" w:rsidRPr="00A871EA">
              <w:rPr>
                <w:sz w:val="20"/>
              </w:rPr>
              <w:t xml:space="preserve">Les « Dots » sont indispensables : ils équilibrent élégamment les </w:t>
            </w:r>
            <w:r w:rsidR="00D872F9">
              <w:rPr>
                <w:sz w:val="20"/>
              </w:rPr>
              <w:br/>
            </w:r>
            <w:r w:rsidR="00A871EA" w:rsidRPr="00A871EA">
              <w:rPr>
                <w:sz w:val="20"/>
              </w:rPr>
              <w:t>« Discs » et permettent un montage simple au mur ou au plafond.</w:t>
            </w:r>
            <w:r w:rsidR="00D04B52">
              <w:rPr>
                <w:sz w:val="20"/>
              </w:rPr>
              <w:t xml:space="preserve"> </w:t>
            </w:r>
            <w:r w:rsidR="003D04E8">
              <w:rPr>
                <w:sz w:val="20"/>
              </w:rPr>
              <w:br/>
            </w:r>
            <w:r w:rsidR="003D04E8">
              <w:rPr>
                <w:sz w:val="20"/>
              </w:rPr>
              <w:br/>
            </w:r>
            <w:r w:rsidR="00A871EA" w:rsidRPr="00A871EA">
              <w:rPr>
                <w:sz w:val="20"/>
              </w:rPr>
              <w:t>Grâce aux 8 teintes inspirées de la nature chaque « Dot » entre dans une relation couleur-forme particulière avec son « Disc ».</w:t>
            </w:r>
            <w:r w:rsidR="00B72B7E">
              <w:rPr>
                <w:sz w:val="20"/>
              </w:rPr>
              <w:t xml:space="preserve"> </w:t>
            </w:r>
            <w:r w:rsidR="00D04B52">
              <w:rPr>
                <w:sz w:val="20"/>
              </w:rPr>
              <w:t>Les c</w:t>
            </w:r>
            <w:r w:rsidR="00A871EA" w:rsidRPr="00A871EA">
              <w:rPr>
                <w:sz w:val="20"/>
              </w:rPr>
              <w:t xml:space="preserve">ouleurs disponibles </w:t>
            </w:r>
            <w:r w:rsidR="00D04B52">
              <w:rPr>
                <w:sz w:val="20"/>
              </w:rPr>
              <w:t xml:space="preserve">sont au nombre de </w:t>
            </w:r>
            <w:r w:rsidR="00B72B7E">
              <w:rPr>
                <w:sz w:val="20"/>
              </w:rPr>
              <w:t>8</w:t>
            </w:r>
            <w:r w:rsidR="00D04B52">
              <w:rPr>
                <w:sz w:val="20"/>
              </w:rPr>
              <w:t> : v</w:t>
            </w:r>
            <w:r w:rsidR="00A871EA" w:rsidRPr="00A871EA">
              <w:rPr>
                <w:sz w:val="20"/>
              </w:rPr>
              <w:t>ignoble</w:t>
            </w:r>
            <w:r w:rsidR="00D04B52">
              <w:rPr>
                <w:sz w:val="20"/>
              </w:rPr>
              <w:t>, m</w:t>
            </w:r>
            <w:r w:rsidR="00A871EA" w:rsidRPr="00A871EA">
              <w:rPr>
                <w:sz w:val="20"/>
              </w:rPr>
              <w:t>ousse douce</w:t>
            </w:r>
            <w:r w:rsidR="00D04B52">
              <w:rPr>
                <w:sz w:val="20"/>
              </w:rPr>
              <w:t>, c</w:t>
            </w:r>
            <w:r w:rsidR="00A871EA" w:rsidRPr="00A871EA">
              <w:rPr>
                <w:sz w:val="20"/>
              </w:rPr>
              <w:t>hamp jaune</w:t>
            </w:r>
            <w:r w:rsidR="00D04B52">
              <w:rPr>
                <w:sz w:val="20"/>
              </w:rPr>
              <w:t>, m</w:t>
            </w:r>
            <w:r w:rsidR="00A871EA" w:rsidRPr="00A871EA">
              <w:rPr>
                <w:sz w:val="20"/>
              </w:rPr>
              <w:t>ontagne lointaine</w:t>
            </w:r>
            <w:r w:rsidR="00D04B52">
              <w:rPr>
                <w:sz w:val="20"/>
              </w:rPr>
              <w:t>, t</w:t>
            </w:r>
            <w:r w:rsidR="00A871EA" w:rsidRPr="00A871EA">
              <w:rPr>
                <w:sz w:val="20"/>
              </w:rPr>
              <w:t>ombée de la nuit</w:t>
            </w:r>
            <w:r w:rsidR="00D04B52">
              <w:rPr>
                <w:sz w:val="20"/>
              </w:rPr>
              <w:t>, b</w:t>
            </w:r>
            <w:r w:rsidR="00A871EA" w:rsidRPr="00A871EA">
              <w:rPr>
                <w:sz w:val="20"/>
              </w:rPr>
              <w:t>lanc</w:t>
            </w:r>
            <w:r w:rsidR="00D04B52">
              <w:rPr>
                <w:sz w:val="20"/>
              </w:rPr>
              <w:t>, a</w:t>
            </w:r>
            <w:r w:rsidR="00A871EA" w:rsidRPr="00A871EA">
              <w:rPr>
                <w:sz w:val="20"/>
              </w:rPr>
              <w:t>ube grise</w:t>
            </w:r>
            <w:r w:rsidR="00D04B52">
              <w:rPr>
                <w:sz w:val="20"/>
              </w:rPr>
              <w:t>, et e</w:t>
            </w:r>
            <w:r w:rsidR="00A871EA" w:rsidRPr="00A871EA">
              <w:rPr>
                <w:sz w:val="20"/>
              </w:rPr>
              <w:t>ncre noire</w:t>
            </w:r>
            <w:r w:rsidR="00D04B52">
              <w:rPr>
                <w:sz w:val="20"/>
              </w:rPr>
              <w:t>.</w:t>
            </w:r>
          </w:p>
          <w:p w14:paraId="12973E2A" w14:textId="75CD98A0" w:rsidR="00083825" w:rsidRDefault="0002403B" w:rsidP="00A871EA">
            <w:pPr>
              <w:spacing w:after="240"/>
              <w:rPr>
                <w:sz w:val="20"/>
              </w:rPr>
            </w:pPr>
            <w:r>
              <w:rPr>
                <w:sz w:val="20"/>
              </w:rPr>
              <w:t>Et s</w:t>
            </w:r>
            <w:r w:rsidR="00594913" w:rsidRPr="00594913">
              <w:rPr>
                <w:sz w:val="20"/>
              </w:rPr>
              <w:t>i la couleur souhaitée ne figure pas parmi celles proposées, le</w:t>
            </w:r>
            <w:r w:rsidR="00594913">
              <w:rPr>
                <w:sz w:val="20"/>
              </w:rPr>
              <w:t xml:space="preserve">s </w:t>
            </w:r>
            <w:r>
              <w:rPr>
                <w:sz w:val="20"/>
              </w:rPr>
              <w:t>« </w:t>
            </w:r>
            <w:r w:rsidR="00594913" w:rsidRPr="00594913">
              <w:rPr>
                <w:sz w:val="20"/>
              </w:rPr>
              <w:t>Dot</w:t>
            </w:r>
            <w:r w:rsidR="00594913">
              <w:rPr>
                <w:sz w:val="20"/>
              </w:rPr>
              <w:t>s</w:t>
            </w:r>
            <w:r>
              <w:rPr>
                <w:sz w:val="20"/>
              </w:rPr>
              <w:t> »</w:t>
            </w:r>
            <w:r w:rsidR="00594913" w:rsidRPr="00594913">
              <w:rPr>
                <w:sz w:val="20"/>
              </w:rPr>
              <w:t xml:space="preserve"> peu</w:t>
            </w:r>
            <w:r w:rsidR="00594913">
              <w:rPr>
                <w:sz w:val="20"/>
              </w:rPr>
              <w:t xml:space="preserve">vent </w:t>
            </w:r>
            <w:r>
              <w:rPr>
                <w:sz w:val="20"/>
              </w:rPr>
              <w:t xml:space="preserve">être </w:t>
            </w:r>
            <w:r w:rsidR="00594913" w:rsidRPr="00594913">
              <w:rPr>
                <w:sz w:val="20"/>
              </w:rPr>
              <w:t>facilement peint</w:t>
            </w:r>
            <w:r w:rsidR="00847CFE">
              <w:rPr>
                <w:sz w:val="20"/>
              </w:rPr>
              <w:t>s</w:t>
            </w:r>
            <w:r w:rsidR="00594913" w:rsidRPr="00594913">
              <w:rPr>
                <w:sz w:val="20"/>
              </w:rPr>
              <w:t xml:space="preserve"> dans une teinte nuancée personnalisée</w:t>
            </w:r>
            <w:r w:rsidR="0023780B">
              <w:rPr>
                <w:sz w:val="20"/>
              </w:rPr>
              <w:t xml:space="preserve">, </w:t>
            </w:r>
            <w:r w:rsidR="0023780B" w:rsidRPr="0023780B">
              <w:rPr>
                <w:sz w:val="20"/>
              </w:rPr>
              <w:t>parfaitement coordonné</w:t>
            </w:r>
            <w:r w:rsidR="00E460CE">
              <w:rPr>
                <w:sz w:val="20"/>
              </w:rPr>
              <w:t>e</w:t>
            </w:r>
            <w:r w:rsidR="0023780B" w:rsidRPr="0023780B">
              <w:rPr>
                <w:sz w:val="20"/>
              </w:rPr>
              <w:t xml:space="preserve"> avec n'importe quel concept d'intérieur.</w:t>
            </w:r>
            <w:r w:rsidR="00E460CE">
              <w:rPr>
                <w:sz w:val="20"/>
              </w:rPr>
              <w:t xml:space="preserve"> </w:t>
            </w:r>
            <w:r w:rsidR="00594913" w:rsidRPr="00594913">
              <w:rPr>
                <w:sz w:val="20"/>
              </w:rPr>
              <w:t>La créativité n'a pas de limites</w:t>
            </w:r>
            <w:r w:rsidR="00847CFE">
              <w:rPr>
                <w:sz w:val="20"/>
              </w:rPr>
              <w:t> !</w:t>
            </w:r>
          </w:p>
          <w:p w14:paraId="49708FF9" w14:textId="68A105B8" w:rsidR="00C51B22" w:rsidRPr="000234F3" w:rsidRDefault="000234F3" w:rsidP="00297CE4">
            <w:pPr>
              <w:spacing w:after="240"/>
              <w:rPr>
                <w:b/>
                <w:bCs/>
                <w:szCs w:val="32"/>
              </w:rPr>
            </w:pPr>
            <w:r w:rsidRPr="000234F3">
              <w:rPr>
                <w:b/>
                <w:bCs/>
                <w:szCs w:val="32"/>
              </w:rPr>
              <w:lastRenderedPageBreak/>
              <w:t>Combinaisons &amp; configurateur</w:t>
            </w:r>
            <w:r w:rsidRPr="000234F3">
              <w:rPr>
                <w:b/>
                <w:bCs/>
                <w:szCs w:val="32"/>
              </w:rPr>
              <w:tab/>
            </w:r>
          </w:p>
          <w:p w14:paraId="3BA65793" w14:textId="3A435F0C" w:rsidR="00083825" w:rsidRPr="00083825" w:rsidRDefault="00AA71F6" w:rsidP="00083825">
            <w:pPr>
              <w:spacing w:after="240"/>
              <w:rPr>
                <w:sz w:val="20"/>
              </w:rPr>
            </w:pPr>
            <w:r>
              <w:rPr>
                <w:sz w:val="20"/>
              </w:rPr>
              <w:t>Il est possible de simuler des installations grâce aux configurateurs en ligne</w:t>
            </w:r>
            <w:r w:rsidR="005B4AF5">
              <w:rPr>
                <w:sz w:val="20"/>
              </w:rPr>
              <w:t xml:space="preserve">, </w:t>
            </w:r>
            <w:r w:rsidR="00083825" w:rsidRPr="00083825">
              <w:rPr>
                <w:sz w:val="20"/>
              </w:rPr>
              <w:t xml:space="preserve">pour une acoustique parfaite dans </w:t>
            </w:r>
            <w:r w:rsidR="00083825">
              <w:rPr>
                <w:sz w:val="20"/>
              </w:rPr>
              <w:t>les</w:t>
            </w:r>
            <w:r w:rsidR="00083825" w:rsidRPr="00083825">
              <w:rPr>
                <w:sz w:val="20"/>
              </w:rPr>
              <w:t xml:space="preserve"> espaces</w:t>
            </w:r>
            <w:r w:rsidR="005B4AF5">
              <w:rPr>
                <w:sz w:val="20"/>
              </w:rPr>
              <w:t>.</w:t>
            </w:r>
          </w:p>
          <w:p w14:paraId="2060502F" w14:textId="00F262FE" w:rsidR="00083825" w:rsidRDefault="00083825" w:rsidP="00083825">
            <w:pPr>
              <w:spacing w:after="240"/>
              <w:rPr>
                <w:sz w:val="20"/>
              </w:rPr>
            </w:pPr>
            <w:r w:rsidRPr="00083825">
              <w:rPr>
                <w:sz w:val="20"/>
              </w:rPr>
              <w:t xml:space="preserve">En quelques clics, </w:t>
            </w:r>
            <w:r w:rsidR="005B4AF5">
              <w:rPr>
                <w:sz w:val="20"/>
              </w:rPr>
              <w:t>l’utilisateur peut choisir</w:t>
            </w:r>
            <w:r w:rsidRPr="00083825">
              <w:rPr>
                <w:sz w:val="20"/>
              </w:rPr>
              <w:t xml:space="preserve"> la forme, la disposition, le montage, la couleur des </w:t>
            </w:r>
            <w:r w:rsidR="00B256D5">
              <w:rPr>
                <w:sz w:val="20"/>
              </w:rPr>
              <w:t>« </w:t>
            </w:r>
            <w:r w:rsidRPr="00083825">
              <w:rPr>
                <w:sz w:val="20"/>
              </w:rPr>
              <w:t>Discs</w:t>
            </w:r>
            <w:r w:rsidR="00B256D5">
              <w:rPr>
                <w:sz w:val="20"/>
              </w:rPr>
              <w:t> »</w:t>
            </w:r>
            <w:r w:rsidRPr="00083825">
              <w:rPr>
                <w:sz w:val="20"/>
              </w:rPr>
              <w:t xml:space="preserve"> et des </w:t>
            </w:r>
            <w:r w:rsidR="00B256D5">
              <w:rPr>
                <w:sz w:val="20"/>
              </w:rPr>
              <w:t>« </w:t>
            </w:r>
            <w:r w:rsidRPr="00083825">
              <w:rPr>
                <w:sz w:val="20"/>
              </w:rPr>
              <w:t>Dots</w:t>
            </w:r>
            <w:r w:rsidR="00B256D5">
              <w:rPr>
                <w:sz w:val="20"/>
              </w:rPr>
              <w:t> »</w:t>
            </w:r>
            <w:r w:rsidRPr="00083825">
              <w:rPr>
                <w:sz w:val="20"/>
              </w:rPr>
              <w:t>.</w:t>
            </w:r>
            <w:r w:rsidR="007F06F9">
              <w:rPr>
                <w:sz w:val="20"/>
              </w:rPr>
              <w:t xml:space="preserve"> Il suffit ensuite de dé</w:t>
            </w:r>
            <w:r w:rsidRPr="00083825">
              <w:rPr>
                <w:sz w:val="20"/>
              </w:rPr>
              <w:t>termine</w:t>
            </w:r>
            <w:r w:rsidR="007F06F9">
              <w:rPr>
                <w:sz w:val="20"/>
              </w:rPr>
              <w:t xml:space="preserve">r les </w:t>
            </w:r>
            <w:r w:rsidRPr="00083825">
              <w:rPr>
                <w:sz w:val="20"/>
              </w:rPr>
              <w:t>besoins</w:t>
            </w:r>
            <w:r w:rsidR="007F06F9">
              <w:rPr>
                <w:sz w:val="20"/>
              </w:rPr>
              <w:t>, en</w:t>
            </w:r>
            <w:r w:rsidRPr="00083825">
              <w:rPr>
                <w:sz w:val="20"/>
              </w:rPr>
              <w:t xml:space="preserve"> entr</w:t>
            </w:r>
            <w:r w:rsidR="007F06F9">
              <w:rPr>
                <w:sz w:val="20"/>
              </w:rPr>
              <w:t>ant</w:t>
            </w:r>
            <w:r w:rsidRPr="00083825">
              <w:rPr>
                <w:sz w:val="20"/>
              </w:rPr>
              <w:t xml:space="preserve"> la longueur et la largeur de la pièce dont </w:t>
            </w:r>
            <w:r w:rsidR="00F34B3D">
              <w:rPr>
                <w:sz w:val="20"/>
              </w:rPr>
              <w:t>on</w:t>
            </w:r>
            <w:r w:rsidRPr="00083825">
              <w:rPr>
                <w:sz w:val="20"/>
              </w:rPr>
              <w:t xml:space="preserve"> souhaite optimiser l'acoustique et </w:t>
            </w:r>
            <w:r w:rsidR="00F34B3D">
              <w:rPr>
                <w:sz w:val="20"/>
              </w:rPr>
              <w:t xml:space="preserve">en </w:t>
            </w:r>
            <w:r w:rsidRPr="00083825">
              <w:rPr>
                <w:sz w:val="20"/>
              </w:rPr>
              <w:t>utilis</w:t>
            </w:r>
            <w:r w:rsidR="00F34B3D">
              <w:rPr>
                <w:sz w:val="20"/>
              </w:rPr>
              <w:t xml:space="preserve">ant un simple </w:t>
            </w:r>
            <w:r w:rsidRPr="00083825">
              <w:rPr>
                <w:sz w:val="20"/>
              </w:rPr>
              <w:t>curseur de réglage.</w:t>
            </w:r>
          </w:p>
          <w:p w14:paraId="19DCBE9C" w14:textId="2850CB01" w:rsidR="00083825" w:rsidRDefault="00157EBE" w:rsidP="00297CE4">
            <w:pPr>
              <w:spacing w:after="240"/>
              <w:rPr>
                <w:sz w:val="20"/>
              </w:rPr>
            </w:pPr>
            <w:r w:rsidRPr="00157EBE">
              <w:rPr>
                <w:sz w:val="20"/>
              </w:rPr>
              <w:t>Pour une plus grande variété, les Disc'n Dots peuvent être assortis aux PAD classiques de Rossoacoustic ou aux solutions combinées lumière-acoustique Lighting Pad et Lighting Pad Lounge.</w:t>
            </w:r>
          </w:p>
          <w:p w14:paraId="59F0DEA8" w14:textId="1AED3F63" w:rsidR="00083825" w:rsidRPr="00157EBE" w:rsidRDefault="00157EBE" w:rsidP="00297CE4">
            <w:pPr>
              <w:spacing w:after="240"/>
              <w:rPr>
                <w:b/>
                <w:bCs/>
                <w:szCs w:val="32"/>
              </w:rPr>
            </w:pPr>
            <w:r w:rsidRPr="00157EBE">
              <w:rPr>
                <w:b/>
                <w:bCs/>
                <w:szCs w:val="32"/>
              </w:rPr>
              <w:t>Lighting Pad Lounge</w:t>
            </w:r>
          </w:p>
          <w:p w14:paraId="092B765D" w14:textId="7BE3F7DF" w:rsidR="0016733D" w:rsidRDefault="0016733D" w:rsidP="0016733D">
            <w:pPr>
              <w:spacing w:after="240"/>
              <w:rPr>
                <w:sz w:val="20"/>
              </w:rPr>
            </w:pPr>
            <w:r w:rsidRPr="0016733D">
              <w:rPr>
                <w:sz w:val="20"/>
              </w:rPr>
              <w:t xml:space="preserve">En complément, </w:t>
            </w:r>
            <w:r w:rsidR="002807A4">
              <w:rPr>
                <w:sz w:val="20"/>
              </w:rPr>
              <w:t>Häfele</w:t>
            </w:r>
            <w:r w:rsidRPr="0016733D">
              <w:rPr>
                <w:sz w:val="20"/>
              </w:rPr>
              <w:t xml:space="preserve"> </w:t>
            </w:r>
            <w:r>
              <w:rPr>
                <w:sz w:val="20"/>
              </w:rPr>
              <w:t>présent</w:t>
            </w:r>
            <w:r w:rsidR="00D30478">
              <w:rPr>
                <w:sz w:val="20"/>
              </w:rPr>
              <w:t>e</w:t>
            </w:r>
            <w:r w:rsidR="002807A4">
              <w:rPr>
                <w:sz w:val="20"/>
              </w:rPr>
              <w:t xml:space="preserve"> sur le salon Architect@work</w:t>
            </w:r>
            <w:r w:rsidR="009A28DF">
              <w:rPr>
                <w:sz w:val="20"/>
              </w:rPr>
              <w:t xml:space="preserve"> Paris</w:t>
            </w:r>
            <w:r w:rsidRPr="0016733D">
              <w:rPr>
                <w:sz w:val="20"/>
              </w:rPr>
              <w:t xml:space="preserve"> le </w:t>
            </w:r>
            <w:r w:rsidR="0026415F">
              <w:rPr>
                <w:sz w:val="20"/>
              </w:rPr>
              <w:t>« </w:t>
            </w:r>
            <w:r w:rsidRPr="0016733D">
              <w:rPr>
                <w:sz w:val="20"/>
              </w:rPr>
              <w:t>Lighting Pad Lounge</w:t>
            </w:r>
            <w:r w:rsidR="0026415F">
              <w:rPr>
                <w:sz w:val="20"/>
              </w:rPr>
              <w:t> »</w:t>
            </w:r>
            <w:r w:rsidRPr="0016733D">
              <w:rPr>
                <w:sz w:val="20"/>
              </w:rPr>
              <w:t xml:space="preserve"> : un luminaire LED novateur </w:t>
            </w:r>
            <w:r w:rsidR="001544EF">
              <w:rPr>
                <w:sz w:val="20"/>
              </w:rPr>
              <w:t xml:space="preserve">à fort impact émotionnel, </w:t>
            </w:r>
            <w:r w:rsidRPr="0016733D">
              <w:rPr>
                <w:sz w:val="20"/>
              </w:rPr>
              <w:t>qui marie intelligemment éclairage et isolation acoustique, matériaux durs et souples, surfaces lisses et rugueuses, fabrication artisanale et fonctionnalités numériques, le tout avec une grande élégance.</w:t>
            </w:r>
          </w:p>
          <w:p w14:paraId="4ED35C04" w14:textId="29CCC720" w:rsidR="001F4785" w:rsidRDefault="004409C6" w:rsidP="0016733D">
            <w:pPr>
              <w:spacing w:after="240"/>
              <w:rPr>
                <w:sz w:val="20"/>
              </w:rPr>
            </w:pPr>
            <w:r>
              <w:rPr>
                <w:sz w:val="20"/>
              </w:rPr>
              <w:t>Ce luminaire</w:t>
            </w:r>
            <w:r w:rsidR="00E025B2">
              <w:rPr>
                <w:sz w:val="20"/>
              </w:rPr>
              <w:t xml:space="preserve"> - </w:t>
            </w:r>
            <w:r w:rsidR="00E025B2" w:rsidRPr="00051AC8">
              <w:rPr>
                <w:sz w:val="20"/>
              </w:rPr>
              <w:t>composé d’un élément acoustique qui absorbe le son et d’un éclairage LED brillant</w:t>
            </w:r>
            <w:r w:rsidR="00E025B2">
              <w:rPr>
                <w:sz w:val="20"/>
              </w:rPr>
              <w:t xml:space="preserve"> -</w:t>
            </w:r>
            <w:r w:rsidR="001F4785" w:rsidRPr="001F4785">
              <w:rPr>
                <w:sz w:val="20"/>
              </w:rPr>
              <w:t xml:space="preserve"> met en valeur les intérieurs haut de gamme avec des bois nobles</w:t>
            </w:r>
            <w:r w:rsidR="00994BFE">
              <w:rPr>
                <w:sz w:val="20"/>
              </w:rPr>
              <w:t xml:space="preserve">. </w:t>
            </w:r>
            <w:r w:rsidR="0026415F">
              <w:rPr>
                <w:sz w:val="20"/>
              </w:rPr>
              <w:t>Il</w:t>
            </w:r>
            <w:r w:rsidR="00D30478" w:rsidRPr="00D30478">
              <w:rPr>
                <w:sz w:val="20"/>
              </w:rPr>
              <w:t xml:space="preserve"> crée une ambiance acoustique agréable et diffuse une lumière</w:t>
            </w:r>
            <w:r w:rsidR="007B5224">
              <w:rPr>
                <w:sz w:val="20"/>
              </w:rPr>
              <w:t xml:space="preserve"> </w:t>
            </w:r>
            <w:r w:rsidR="00D30478" w:rsidRPr="00D30478">
              <w:rPr>
                <w:sz w:val="20"/>
              </w:rPr>
              <w:t>chaleureuse. Comme les LED</w:t>
            </w:r>
            <w:r w:rsidR="00226DB9">
              <w:rPr>
                <w:sz w:val="20"/>
              </w:rPr>
              <w:t>s</w:t>
            </w:r>
            <w:r w:rsidR="00D30478" w:rsidRPr="00D30478">
              <w:rPr>
                <w:sz w:val="20"/>
              </w:rPr>
              <w:t xml:space="preserve"> haute performance sont intégrées en tant que source lumineuse de manière presque invisible dans le feutre acoustique sur la face inférieure du luminaire, elles créent un effet féerique sous la forme d’une colonne de lumière.</w:t>
            </w:r>
          </w:p>
          <w:p w14:paraId="447DBB0A" w14:textId="1431A93D" w:rsidR="00416294" w:rsidRDefault="00416294" w:rsidP="0016733D">
            <w:pPr>
              <w:spacing w:after="240"/>
              <w:rPr>
                <w:sz w:val="20"/>
              </w:rPr>
            </w:pPr>
            <w:r w:rsidRPr="00416294">
              <w:rPr>
                <w:sz w:val="20"/>
              </w:rPr>
              <w:t>Avec son aspect accueillant et raffiné, le « Lighting Pad Lounge » est</w:t>
            </w:r>
            <w:r w:rsidR="00226DB9">
              <w:rPr>
                <w:sz w:val="20"/>
              </w:rPr>
              <w:t xml:space="preserve"> </w:t>
            </w:r>
            <w:r w:rsidRPr="00416294">
              <w:rPr>
                <w:sz w:val="20"/>
              </w:rPr>
              <w:t xml:space="preserve">destiné aux </w:t>
            </w:r>
            <w:r>
              <w:rPr>
                <w:sz w:val="20"/>
              </w:rPr>
              <w:t>espaces de réception</w:t>
            </w:r>
            <w:r w:rsidRPr="00416294">
              <w:rPr>
                <w:sz w:val="20"/>
              </w:rPr>
              <w:t>, aux restaurants, aux hôtels et aux boutiques haut de gamme. Mais il est tout aussi convaincant et inspirant dans des bureaux et, bien sûr, dans les espaces de vie prestigieux.</w:t>
            </w:r>
          </w:p>
          <w:p w14:paraId="0EF2DFC6" w14:textId="0DAA2DFF" w:rsidR="00E479A9" w:rsidRPr="00E479A9" w:rsidRDefault="00E479A9" w:rsidP="00E479A9">
            <w:pPr>
              <w:spacing w:after="240"/>
              <w:rPr>
                <w:sz w:val="20"/>
              </w:rPr>
            </w:pPr>
            <w:r w:rsidRPr="00E479A9">
              <w:rPr>
                <w:sz w:val="20"/>
              </w:rPr>
              <w:t xml:space="preserve">La manipulation du « Lighting Pad Lounge » </w:t>
            </w:r>
            <w:r>
              <w:rPr>
                <w:sz w:val="20"/>
              </w:rPr>
              <w:t xml:space="preserve">est </w:t>
            </w:r>
            <w:r w:rsidRPr="00E479A9">
              <w:rPr>
                <w:sz w:val="20"/>
              </w:rPr>
              <w:t xml:space="preserve">amusante : en option, </w:t>
            </w:r>
            <w:r w:rsidR="00C67271">
              <w:rPr>
                <w:sz w:val="20"/>
              </w:rPr>
              <w:t xml:space="preserve">ce dernier peut </w:t>
            </w:r>
            <w:r w:rsidRPr="00E479A9">
              <w:rPr>
                <w:sz w:val="20"/>
              </w:rPr>
              <w:t xml:space="preserve">être déplacé manuellement le long de câbles filigranes et </w:t>
            </w:r>
            <w:r w:rsidR="00C243DC">
              <w:rPr>
                <w:sz w:val="20"/>
              </w:rPr>
              <w:t xml:space="preserve">être </w:t>
            </w:r>
            <w:r w:rsidRPr="00E479A9">
              <w:rPr>
                <w:sz w:val="20"/>
              </w:rPr>
              <w:t xml:space="preserve">contrôlé intuitivement par un capteur de gestes. La télécommande fonctionne par Bluetooth avec l’application intelligente Häfele Connect Mesh. </w:t>
            </w:r>
            <w:r w:rsidR="00C243DC">
              <w:rPr>
                <w:sz w:val="20"/>
              </w:rPr>
              <w:t xml:space="preserve">Il </w:t>
            </w:r>
            <w:r w:rsidR="004163E2">
              <w:rPr>
                <w:sz w:val="20"/>
              </w:rPr>
              <w:t>peut être aussi</w:t>
            </w:r>
            <w:r w:rsidR="00112539">
              <w:rPr>
                <w:sz w:val="20"/>
              </w:rPr>
              <w:t xml:space="preserve"> </w:t>
            </w:r>
            <w:r w:rsidR="00C243DC" w:rsidRPr="001F4785">
              <w:rPr>
                <w:sz w:val="20"/>
              </w:rPr>
              <w:t xml:space="preserve">contrôlé via </w:t>
            </w:r>
            <w:r w:rsidR="004163E2">
              <w:rPr>
                <w:sz w:val="20"/>
              </w:rPr>
              <w:t>l’</w:t>
            </w:r>
            <w:r w:rsidR="00C243DC" w:rsidRPr="001F4785">
              <w:rPr>
                <w:sz w:val="20"/>
              </w:rPr>
              <w:t>applicatio</w:t>
            </w:r>
            <w:r w:rsidR="00C243DC">
              <w:rPr>
                <w:sz w:val="20"/>
              </w:rPr>
              <w:t>n pour smartphone</w:t>
            </w:r>
            <w:r w:rsidR="00112539">
              <w:rPr>
                <w:sz w:val="20"/>
              </w:rPr>
              <w:t>.</w:t>
            </w:r>
          </w:p>
          <w:p w14:paraId="32400DD6" w14:textId="46D152E8" w:rsidR="009B65FF" w:rsidRPr="0016733D" w:rsidRDefault="00E479A9" w:rsidP="00E479A9">
            <w:pPr>
              <w:spacing w:after="240"/>
              <w:rPr>
                <w:sz w:val="20"/>
              </w:rPr>
            </w:pPr>
            <w:r w:rsidRPr="00E479A9">
              <w:rPr>
                <w:sz w:val="20"/>
              </w:rPr>
              <w:t>Le « Lighting Pad Lounge » est dimmable et dispose d’une couleur de lumière variable entre 2700 et 4000 Kelvin. Grâce à une part de lumière directe de 1700 lm et une part de lumière indirecte pouvant atteindre 1800 lm, il existe des réglages infinis offrant l’ambiance d’éclairage adaptée à chacun.</w:t>
            </w:r>
            <w:r>
              <w:rPr>
                <w:sz w:val="20"/>
              </w:rPr>
              <w:t xml:space="preserve"> </w:t>
            </w:r>
          </w:p>
          <w:p w14:paraId="34702FF2" w14:textId="636880E2" w:rsidR="00083825" w:rsidRDefault="0016733D" w:rsidP="0016733D">
            <w:pPr>
              <w:spacing w:after="240"/>
              <w:rPr>
                <w:sz w:val="20"/>
              </w:rPr>
            </w:pPr>
            <w:r w:rsidRPr="0016733D">
              <w:rPr>
                <w:sz w:val="20"/>
              </w:rPr>
              <w:lastRenderedPageBreak/>
              <w:t>Ce produit a reçu deux récompenses : le prix « interzum – haute qualité de produit » et le prix « Focus Open Silver, catégorie design ».</w:t>
            </w:r>
          </w:p>
          <w:p w14:paraId="5D7AA629" w14:textId="68704350" w:rsidR="00202BF1" w:rsidRPr="00B03B5B" w:rsidRDefault="00331604" w:rsidP="00B03B5B">
            <w:pPr>
              <w:spacing w:after="240"/>
              <w:rPr>
                <w:sz w:val="20"/>
              </w:rPr>
            </w:pPr>
            <w:r w:rsidRPr="00B03B5B">
              <w:rPr>
                <w:sz w:val="20"/>
              </w:rPr>
              <w:t xml:space="preserve">En cette année de célébration des </w:t>
            </w:r>
            <w:hyperlink r:id="rId8">
              <w:r w:rsidRPr="00B03B5B">
                <w:rPr>
                  <w:rStyle w:val="Hyperlink"/>
                  <w:color w:val="000000"/>
                  <w:sz w:val="20"/>
                </w:rPr>
                <w:t>100 ans de Häfele</w:t>
              </w:r>
            </w:hyperlink>
            <w:r w:rsidRPr="00B03B5B">
              <w:rPr>
                <w:sz w:val="20"/>
              </w:rPr>
              <w:t>, l’entreprise se tourne avant tout vers l’avenir et montre sa force d’innovation, entre autres lors d’événements importan</w:t>
            </w:r>
            <w:r w:rsidR="007C690E">
              <w:rPr>
                <w:sz w:val="20"/>
              </w:rPr>
              <w:t>t du secteur comme le salon Architect@work Paris 2023</w:t>
            </w:r>
            <w:r w:rsidRPr="00B03B5B">
              <w:rPr>
                <w:sz w:val="20"/>
              </w:rPr>
              <w:t>. Notre nouvelle devise « Maximising the value of space. Together. » témoigne de notre ambition de maximiser l’utilisation de l’espace en collaboration avec nos partenaires, et ce grâce à des solutions élégantes destinées aux environnements de vie et de travail de demain.</w:t>
            </w:r>
          </w:p>
          <w:p w14:paraId="5D7AA62A" w14:textId="44283B37" w:rsidR="00202BF1" w:rsidRDefault="006526D5">
            <w:pPr>
              <w:spacing w:after="240"/>
              <w:rPr>
                <w:sz w:val="20"/>
                <w:szCs w:val="20"/>
              </w:rPr>
            </w:pPr>
            <w:r>
              <w:rPr>
                <w:sz w:val="20"/>
              </w:rPr>
              <w:t>Taverny</w:t>
            </w:r>
            <w:r w:rsidR="00331604">
              <w:rPr>
                <w:sz w:val="20"/>
              </w:rPr>
              <w:t xml:space="preserve">, </w:t>
            </w:r>
            <w:r w:rsidR="00C05259">
              <w:rPr>
                <w:sz w:val="20"/>
              </w:rPr>
              <w:t>Octobre</w:t>
            </w:r>
            <w:r w:rsidR="00331604">
              <w:rPr>
                <w:sz w:val="20"/>
              </w:rPr>
              <w:t xml:space="preserve"> 2023</w:t>
            </w:r>
          </w:p>
          <w:p w14:paraId="4B4D5E09" w14:textId="77777777" w:rsidR="00202BF1" w:rsidRDefault="00331604">
            <w:pPr>
              <w:rPr>
                <w:sz w:val="20"/>
              </w:rPr>
            </w:pPr>
            <w:r>
              <w:rPr>
                <w:sz w:val="20"/>
              </w:rPr>
              <w:t>Reproduction gratuite / justificatif demandé</w:t>
            </w:r>
          </w:p>
          <w:p w14:paraId="7EDF0E2B" w14:textId="77777777" w:rsidR="005D3447" w:rsidRDefault="005D3447">
            <w:pPr>
              <w:rPr>
                <w:sz w:val="20"/>
              </w:rPr>
            </w:pPr>
          </w:p>
          <w:p w14:paraId="0FF08D43" w14:textId="77777777" w:rsidR="005D3447" w:rsidRPr="005D3447" w:rsidRDefault="005D3447" w:rsidP="005D3447">
            <w:pPr>
              <w:rPr>
                <w:sz w:val="20"/>
              </w:rPr>
            </w:pPr>
            <w:r w:rsidRPr="005D3447">
              <w:rPr>
                <w:sz w:val="20"/>
              </w:rPr>
              <w:t xml:space="preserve">Pour toute information complémentaire, veuillez contacter : </w:t>
            </w:r>
          </w:p>
          <w:p w14:paraId="1A6804E8" w14:textId="0301C571" w:rsidR="005D3447" w:rsidRPr="005D3447" w:rsidRDefault="005D3447" w:rsidP="005D3447">
            <w:pPr>
              <w:rPr>
                <w:sz w:val="20"/>
              </w:rPr>
            </w:pPr>
            <w:r>
              <w:rPr>
                <w:sz w:val="20"/>
              </w:rPr>
              <w:t>Jonathan Rosereau</w:t>
            </w:r>
            <w:r w:rsidRPr="005D3447">
              <w:rPr>
                <w:sz w:val="20"/>
              </w:rPr>
              <w:t xml:space="preserve"> </w:t>
            </w:r>
          </w:p>
          <w:p w14:paraId="2390E949" w14:textId="7F6B6A97" w:rsidR="005D3447" w:rsidRPr="005D3447" w:rsidRDefault="005D3447" w:rsidP="005D3447">
            <w:pPr>
              <w:rPr>
                <w:sz w:val="20"/>
              </w:rPr>
            </w:pPr>
            <w:r w:rsidRPr="005D3447">
              <w:rPr>
                <w:sz w:val="20"/>
              </w:rPr>
              <w:t>Tél. : +</w:t>
            </w:r>
            <w:r w:rsidR="00B21C53">
              <w:rPr>
                <w:sz w:val="20"/>
              </w:rPr>
              <w:t>33</w:t>
            </w:r>
            <w:r w:rsidRPr="005D3447">
              <w:rPr>
                <w:sz w:val="20"/>
              </w:rPr>
              <w:t xml:space="preserve"> </w:t>
            </w:r>
            <w:r w:rsidR="00A928AC">
              <w:rPr>
                <w:sz w:val="20"/>
              </w:rPr>
              <w:t>0</w:t>
            </w:r>
            <w:r w:rsidR="00B21C53">
              <w:rPr>
                <w:sz w:val="20"/>
              </w:rPr>
              <w:t>1 30 40 54 64</w:t>
            </w:r>
            <w:r w:rsidRPr="005D3447">
              <w:rPr>
                <w:sz w:val="20"/>
              </w:rPr>
              <w:t xml:space="preserve"> </w:t>
            </w:r>
          </w:p>
          <w:p w14:paraId="0952676B" w14:textId="56E51DA9" w:rsidR="005D3447" w:rsidRPr="005D3447" w:rsidRDefault="005D3447" w:rsidP="005D3447">
            <w:pPr>
              <w:rPr>
                <w:sz w:val="20"/>
              </w:rPr>
            </w:pPr>
            <w:r w:rsidRPr="005D3447">
              <w:rPr>
                <w:sz w:val="20"/>
              </w:rPr>
              <w:t xml:space="preserve">Fax : </w:t>
            </w:r>
            <w:r w:rsidR="00A928AC" w:rsidRPr="00A928AC">
              <w:rPr>
                <w:sz w:val="20"/>
              </w:rPr>
              <w:t xml:space="preserve">+33 </w:t>
            </w:r>
            <w:r w:rsidR="00A928AC">
              <w:rPr>
                <w:sz w:val="20"/>
              </w:rPr>
              <w:t>0</w:t>
            </w:r>
            <w:r w:rsidR="00A928AC" w:rsidRPr="00A928AC">
              <w:rPr>
                <w:sz w:val="20"/>
              </w:rPr>
              <w:t>6</w:t>
            </w:r>
            <w:r w:rsidR="00A928AC">
              <w:rPr>
                <w:sz w:val="20"/>
              </w:rPr>
              <w:t xml:space="preserve"> </w:t>
            </w:r>
            <w:r w:rsidR="00A928AC" w:rsidRPr="00A928AC">
              <w:rPr>
                <w:sz w:val="20"/>
              </w:rPr>
              <w:t>32 39 75 39</w:t>
            </w:r>
          </w:p>
          <w:p w14:paraId="0E557407" w14:textId="0437EDA6" w:rsidR="005D3447" w:rsidRPr="00FB4E52" w:rsidRDefault="005D3447" w:rsidP="005D3447">
            <w:pPr>
              <w:rPr>
                <w:sz w:val="20"/>
                <w:lang w:val="de-DE"/>
              </w:rPr>
            </w:pPr>
            <w:r w:rsidRPr="00FB4E52">
              <w:rPr>
                <w:sz w:val="20"/>
                <w:lang w:val="de-DE"/>
              </w:rPr>
              <w:t>E-mail :</w:t>
            </w:r>
            <w:r w:rsidR="00A928AC" w:rsidRPr="00FB4E52">
              <w:rPr>
                <w:sz w:val="20"/>
                <w:lang w:val="de-DE"/>
              </w:rPr>
              <w:t xml:space="preserve"> </w:t>
            </w:r>
            <w:hyperlink r:id="rId9" w:history="1">
              <w:r w:rsidR="00FB4E52" w:rsidRPr="005B5D11">
                <w:rPr>
                  <w:rStyle w:val="Hyperlink"/>
                  <w:sz w:val="20"/>
                  <w:lang w:val="de-DE"/>
                </w:rPr>
                <w:t>jrosereau@hafele.fr</w:t>
              </w:r>
            </w:hyperlink>
            <w:r w:rsidR="00FB4E52">
              <w:rPr>
                <w:sz w:val="20"/>
                <w:lang w:val="de-DE"/>
              </w:rPr>
              <w:t xml:space="preserve"> </w:t>
            </w:r>
          </w:p>
          <w:p w14:paraId="69274D68" w14:textId="77777777" w:rsidR="00B4545E" w:rsidRPr="00FB4E52" w:rsidRDefault="00B4545E">
            <w:pPr>
              <w:rPr>
                <w:sz w:val="20"/>
                <w:szCs w:val="20"/>
                <w:lang w:val="de-DE"/>
              </w:rPr>
            </w:pPr>
          </w:p>
          <w:p w14:paraId="5D7AA62B" w14:textId="4F6A2C60" w:rsidR="00B4545E" w:rsidRPr="00B4545E" w:rsidRDefault="00B4545E">
            <w:pPr>
              <w:rPr>
                <w:b/>
                <w:bCs/>
                <w:sz w:val="20"/>
                <w:szCs w:val="20"/>
              </w:rPr>
            </w:pPr>
            <w:r w:rsidRPr="00B4545E">
              <w:rPr>
                <w:b/>
                <w:bCs/>
                <w:sz w:val="20"/>
                <w:szCs w:val="20"/>
              </w:rPr>
              <w:t>Photos et légendes</w:t>
            </w:r>
          </w:p>
        </w:tc>
        <w:tc>
          <w:tcPr>
            <w:tcW w:w="2191" w:type="pct"/>
            <w:tcBorders>
              <w:top w:val="nil"/>
              <w:left w:val="nil"/>
              <w:bottom w:val="nil"/>
              <w:right w:val="nil"/>
            </w:tcBorders>
            <w:shd w:val="clear" w:color="auto" w:fill="auto"/>
            <w:tcMar>
              <w:top w:w="0" w:type="dxa"/>
              <w:left w:w="0" w:type="dxa"/>
              <w:bottom w:w="0" w:type="dxa"/>
              <w:right w:w="227" w:type="dxa"/>
            </w:tcMar>
          </w:tcPr>
          <w:p w14:paraId="5D7AA62F" w14:textId="24831B1B" w:rsidR="00202BF1" w:rsidRPr="00126C55" w:rsidRDefault="00202BF1" w:rsidP="00DD5D0C">
            <w:pPr>
              <w:rPr>
                <w:color w:val="auto"/>
                <w:sz w:val="20"/>
                <w:szCs w:val="20"/>
              </w:rPr>
            </w:pPr>
          </w:p>
        </w:tc>
      </w:tr>
      <w:tr w:rsidR="00202BF1" w14:paraId="5D7AA633" w14:textId="77777777" w:rsidTr="00830A78">
        <w:trPr>
          <w:gridAfter w:val="1"/>
          <w:wAfter w:w="2191" w:type="pct"/>
        </w:trPr>
        <w:tc>
          <w:tcPr>
            <w:tcW w:w="1405" w:type="pct"/>
            <w:tcBorders>
              <w:top w:val="nil"/>
              <w:left w:val="nil"/>
              <w:bottom w:val="nil"/>
              <w:right w:val="nil"/>
            </w:tcBorders>
            <w:shd w:val="clear" w:color="auto" w:fill="auto"/>
            <w:tcMar>
              <w:top w:w="0" w:type="dxa"/>
              <w:left w:w="0" w:type="dxa"/>
              <w:bottom w:w="0" w:type="dxa"/>
              <w:right w:w="227" w:type="dxa"/>
            </w:tcMar>
          </w:tcPr>
          <w:p w14:paraId="5D7AA631" w14:textId="77777777" w:rsidR="00202BF1" w:rsidRDefault="00202BF1">
            <w:pPr>
              <w:rPr>
                <w:sz w:val="20"/>
                <w:szCs w:val="20"/>
              </w:rPr>
            </w:pPr>
          </w:p>
        </w:tc>
        <w:tc>
          <w:tcPr>
            <w:tcW w:w="1405" w:type="pct"/>
            <w:tcBorders>
              <w:top w:val="nil"/>
              <w:left w:val="nil"/>
              <w:bottom w:val="nil"/>
              <w:right w:val="nil"/>
            </w:tcBorders>
            <w:shd w:val="clear" w:color="auto" w:fill="auto"/>
            <w:tcMar>
              <w:top w:w="0" w:type="dxa"/>
              <w:left w:w="0" w:type="dxa"/>
              <w:bottom w:w="0" w:type="dxa"/>
              <w:right w:w="227" w:type="dxa"/>
            </w:tcMar>
          </w:tcPr>
          <w:p w14:paraId="5D7AA632" w14:textId="77777777" w:rsidR="00202BF1" w:rsidRDefault="00202BF1">
            <w:pPr>
              <w:rPr>
                <w:sz w:val="20"/>
                <w:szCs w:val="20"/>
              </w:rPr>
            </w:pPr>
          </w:p>
        </w:tc>
      </w:tr>
    </w:tbl>
    <w:p w14:paraId="5D7AA635" w14:textId="0E34C78C" w:rsidR="00202BF1" w:rsidRDefault="00331604">
      <w:pPr>
        <w:spacing w:line="240" w:lineRule="auto"/>
        <w:rPr>
          <w:sz w:val="17"/>
          <w:szCs w:val="17"/>
        </w:rPr>
      </w:pPr>
      <w:r>
        <w:rPr>
          <w:b/>
          <w:sz w:val="17"/>
        </w:rPr>
        <w:t>1</w:t>
      </w:r>
      <w:r>
        <w:rPr>
          <w:sz w:val="17"/>
        </w:rPr>
        <w:t xml:space="preserve"> </w:t>
      </w:r>
      <w:r w:rsidR="008B296F">
        <w:rPr>
          <w:sz w:val="17"/>
        </w:rPr>
        <w:t>L’</w:t>
      </w:r>
      <w:r w:rsidR="00473155" w:rsidRPr="00473155">
        <w:rPr>
          <w:sz w:val="17"/>
        </w:rPr>
        <w:t xml:space="preserve">innovation Rossoacoustic Disc'n Dots, un système acoustique modulaire </w:t>
      </w:r>
      <w:r w:rsidR="00205047">
        <w:rPr>
          <w:sz w:val="17"/>
        </w:rPr>
        <w:t xml:space="preserve">à la fois </w:t>
      </w:r>
      <w:r w:rsidR="00473155" w:rsidRPr="00473155">
        <w:rPr>
          <w:sz w:val="17"/>
        </w:rPr>
        <w:t>abordable</w:t>
      </w:r>
      <w:r w:rsidR="008B296F">
        <w:rPr>
          <w:sz w:val="17"/>
        </w:rPr>
        <w:t>,</w:t>
      </w:r>
      <w:r w:rsidR="000E6362">
        <w:rPr>
          <w:sz w:val="17"/>
        </w:rPr>
        <w:t xml:space="preserve"> efficace (class</w:t>
      </w:r>
      <w:r w:rsidR="00205047">
        <w:rPr>
          <w:sz w:val="17"/>
        </w:rPr>
        <w:t>e</w:t>
      </w:r>
      <w:r w:rsidR="000E6362">
        <w:rPr>
          <w:sz w:val="17"/>
        </w:rPr>
        <w:t xml:space="preserve"> A) et design</w:t>
      </w:r>
      <w:r w:rsidR="008B296F">
        <w:rPr>
          <w:sz w:val="17"/>
        </w:rPr>
        <w:t xml:space="preserve"> </w:t>
      </w:r>
      <w:r w:rsidR="008B296F" w:rsidRPr="008B296F">
        <w:rPr>
          <w:sz w:val="17"/>
        </w:rPr>
        <w:t>pour des univers sonores agréables dans les bureaux, salles de réunion, réceptions et espaces de restauration.</w:t>
      </w:r>
      <w:r>
        <w:rPr>
          <w:sz w:val="17"/>
        </w:rPr>
        <w:t xml:space="preserve"> Photo : Häfele</w:t>
      </w:r>
      <w:r>
        <w:rPr>
          <w:sz w:val="17"/>
        </w:rPr>
        <w:br/>
      </w:r>
    </w:p>
    <w:p w14:paraId="5D7AA638" w14:textId="41A86465" w:rsidR="00202BF1" w:rsidRDefault="00331604" w:rsidP="00D23AB1">
      <w:pPr>
        <w:spacing w:line="240" w:lineRule="auto"/>
        <w:rPr>
          <w:sz w:val="17"/>
          <w:szCs w:val="17"/>
        </w:rPr>
      </w:pPr>
      <w:r>
        <w:rPr>
          <w:b/>
          <w:sz w:val="17"/>
        </w:rPr>
        <w:t>2</w:t>
      </w:r>
      <w:r>
        <w:rPr>
          <w:sz w:val="17"/>
        </w:rPr>
        <w:t xml:space="preserve"> </w:t>
      </w:r>
      <w:r w:rsidR="003D0053" w:rsidRPr="003D0053">
        <w:rPr>
          <w:sz w:val="17"/>
        </w:rPr>
        <w:t xml:space="preserve">Le </w:t>
      </w:r>
      <w:r w:rsidR="00D23AB1">
        <w:rPr>
          <w:sz w:val="17"/>
        </w:rPr>
        <w:t xml:space="preserve">luminaire LED </w:t>
      </w:r>
      <w:r w:rsidR="003D0053" w:rsidRPr="003D0053">
        <w:rPr>
          <w:sz w:val="17"/>
        </w:rPr>
        <w:t>Lighting Pad Lounge</w:t>
      </w:r>
      <w:r w:rsidR="00D23AB1">
        <w:rPr>
          <w:sz w:val="17"/>
        </w:rPr>
        <w:t xml:space="preserve">, une </w:t>
      </w:r>
      <w:r w:rsidR="00D23AB1" w:rsidRPr="00D23AB1">
        <w:rPr>
          <w:sz w:val="17"/>
        </w:rPr>
        <w:t>solution 2 en 1</w:t>
      </w:r>
      <w:r w:rsidR="00D23AB1">
        <w:rPr>
          <w:sz w:val="17"/>
        </w:rPr>
        <w:t xml:space="preserve"> </w:t>
      </w:r>
      <w:r w:rsidR="00D23AB1" w:rsidRPr="00D23AB1">
        <w:rPr>
          <w:sz w:val="17"/>
        </w:rPr>
        <w:t>élégant</w:t>
      </w:r>
      <w:r w:rsidR="000A55EC">
        <w:rPr>
          <w:sz w:val="17"/>
        </w:rPr>
        <w:t>e</w:t>
      </w:r>
      <w:r w:rsidR="00D23AB1" w:rsidRPr="00D23AB1">
        <w:rPr>
          <w:sz w:val="17"/>
        </w:rPr>
        <w:t xml:space="preserve"> combinant éclairage et insonorisation. </w:t>
      </w:r>
      <w:r w:rsidR="0005363F">
        <w:rPr>
          <w:sz w:val="17"/>
        </w:rPr>
        <w:t>C</w:t>
      </w:r>
      <w:r w:rsidR="003D0053" w:rsidRPr="003D0053">
        <w:rPr>
          <w:sz w:val="17"/>
        </w:rPr>
        <w:t>ontrôl</w:t>
      </w:r>
      <w:r w:rsidR="0005363F">
        <w:rPr>
          <w:sz w:val="17"/>
        </w:rPr>
        <w:t xml:space="preserve">able par capteur, télécommande et </w:t>
      </w:r>
      <w:r w:rsidR="003D0053" w:rsidRPr="003D0053">
        <w:rPr>
          <w:sz w:val="17"/>
        </w:rPr>
        <w:t xml:space="preserve">application </w:t>
      </w:r>
      <w:r w:rsidR="0005363F">
        <w:rPr>
          <w:sz w:val="17"/>
        </w:rPr>
        <w:t xml:space="preserve">pour </w:t>
      </w:r>
      <w:r w:rsidR="00026598">
        <w:rPr>
          <w:sz w:val="17"/>
        </w:rPr>
        <w:t>smartphones</w:t>
      </w:r>
      <w:r w:rsidR="0005363F">
        <w:rPr>
          <w:sz w:val="17"/>
        </w:rPr>
        <w:t xml:space="preserve">, </w:t>
      </w:r>
      <w:r w:rsidR="00026598">
        <w:rPr>
          <w:sz w:val="17"/>
        </w:rPr>
        <w:t xml:space="preserve">il </w:t>
      </w:r>
      <w:r w:rsidR="003D0053" w:rsidRPr="003D0053">
        <w:rPr>
          <w:sz w:val="17"/>
        </w:rPr>
        <w:t>convainc par de</w:t>
      </w:r>
      <w:r w:rsidR="00026598">
        <w:rPr>
          <w:sz w:val="17"/>
        </w:rPr>
        <w:t xml:space="preserve">s </w:t>
      </w:r>
      <w:r w:rsidR="003D0053" w:rsidRPr="003D0053">
        <w:rPr>
          <w:sz w:val="17"/>
        </w:rPr>
        <w:t xml:space="preserve">finitions chaleureuses </w:t>
      </w:r>
      <w:r w:rsidR="009B502A">
        <w:rPr>
          <w:sz w:val="17"/>
        </w:rPr>
        <w:t>en bois de grande qualité</w:t>
      </w:r>
      <w:r w:rsidR="008B050F" w:rsidRPr="008B050F">
        <w:rPr>
          <w:sz w:val="17"/>
        </w:rPr>
        <w:t>.</w:t>
      </w:r>
      <w:r w:rsidR="00710F2B">
        <w:rPr>
          <w:sz w:val="17"/>
        </w:rPr>
        <w:t xml:space="preserve"> P</w:t>
      </w:r>
      <w:r>
        <w:rPr>
          <w:sz w:val="17"/>
        </w:rPr>
        <w:t>hoto : Häfele</w:t>
      </w:r>
      <w:r>
        <w:rPr>
          <w:sz w:val="17"/>
        </w:rPr>
        <w:br/>
      </w:r>
      <w:r>
        <w:rPr>
          <w:sz w:val="17"/>
        </w:rPr>
        <w:br/>
      </w:r>
      <w:r>
        <w:rPr>
          <w:sz w:val="17"/>
        </w:rPr>
        <w:br/>
      </w:r>
    </w:p>
    <w:tbl>
      <w:tblPr>
        <w:tblStyle w:val="TableSimple1"/>
        <w:tblW w:w="5000" w:type="pct"/>
        <w:tblLayout w:type="fixed"/>
        <w:tblCellMar>
          <w:left w:w="0" w:type="dxa"/>
          <w:right w:w="0" w:type="dxa"/>
        </w:tblCellMar>
        <w:tblLook w:val="04A0" w:firstRow="1" w:lastRow="0" w:firstColumn="1" w:lastColumn="0" w:noHBand="0" w:noVBand="1"/>
      </w:tblPr>
      <w:tblGrid>
        <w:gridCol w:w="4767"/>
        <w:gridCol w:w="218"/>
        <w:gridCol w:w="4767"/>
      </w:tblGrid>
      <w:tr w:rsidR="00202BF1" w14:paraId="5D7AA63C" w14:textId="77777777">
        <w:tc>
          <w:tcPr>
            <w:tcW w:w="2444" w:type="pct"/>
            <w:tcBorders>
              <w:top w:val="nil"/>
              <w:left w:val="nil"/>
              <w:bottom w:val="nil"/>
              <w:right w:val="nil"/>
            </w:tcBorders>
            <w:shd w:val="clear" w:color="auto" w:fill="auto"/>
            <w:tcMar>
              <w:top w:w="0" w:type="dxa"/>
              <w:left w:w="0" w:type="dxa"/>
              <w:bottom w:w="0" w:type="dxa"/>
              <w:right w:w="0" w:type="dxa"/>
            </w:tcMar>
          </w:tcPr>
          <w:p w14:paraId="5D7AA639" w14:textId="77777777" w:rsidR="00202BF1" w:rsidRDefault="00331604">
            <w:pPr>
              <w:keepNext/>
              <w:keepLines/>
              <w:spacing w:line="240" w:lineRule="auto"/>
              <w:rPr>
                <w:sz w:val="14"/>
                <w:szCs w:val="14"/>
              </w:rPr>
            </w:pPr>
            <w:r>
              <w:rPr>
                <w:sz w:val="14"/>
              </w:rPr>
              <w:t>1.</w:t>
            </w:r>
          </w:p>
        </w:tc>
        <w:tc>
          <w:tcPr>
            <w:tcW w:w="112" w:type="pct"/>
            <w:tcBorders>
              <w:top w:val="nil"/>
              <w:left w:val="nil"/>
              <w:bottom w:val="nil"/>
              <w:right w:val="nil"/>
            </w:tcBorders>
            <w:shd w:val="clear" w:color="auto" w:fill="auto"/>
            <w:tcMar>
              <w:top w:w="0" w:type="dxa"/>
              <w:left w:w="0" w:type="dxa"/>
              <w:bottom w:w="0" w:type="dxa"/>
              <w:right w:w="0" w:type="dxa"/>
            </w:tcMar>
          </w:tcPr>
          <w:p w14:paraId="5D7AA63A" w14:textId="77777777" w:rsidR="00202BF1" w:rsidRDefault="00202BF1">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5D7AA63B" w14:textId="77777777" w:rsidR="00202BF1" w:rsidRDefault="00331604">
            <w:pPr>
              <w:keepNext/>
              <w:keepLines/>
              <w:spacing w:line="240" w:lineRule="auto"/>
              <w:rPr>
                <w:sz w:val="14"/>
                <w:szCs w:val="14"/>
              </w:rPr>
            </w:pPr>
            <w:r>
              <w:rPr>
                <w:sz w:val="14"/>
              </w:rPr>
              <w:t>2.</w:t>
            </w:r>
          </w:p>
        </w:tc>
      </w:tr>
      <w:tr w:rsidR="00202BF1" w14:paraId="5D7AA640" w14:textId="77777777" w:rsidTr="00526351">
        <w:trPr>
          <w:trHeight w:hRule="exact" w:val="3971"/>
        </w:trPr>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5D7AA63D" w14:textId="77777777" w:rsidR="00202BF1" w:rsidRDefault="00331604">
            <w:pPr>
              <w:keepNext/>
              <w:keepLines/>
              <w:spacing w:line="240" w:lineRule="auto"/>
              <w:rPr>
                <w:sz w:val="14"/>
                <w:szCs w:val="14"/>
              </w:rPr>
            </w:pPr>
            <w:r>
              <w:rPr>
                <w:noProof/>
                <w:sz w:val="14"/>
              </w:rPr>
              <w:drawing>
                <wp:inline distT="0" distB="0" distL="0" distR="0" wp14:anchorId="5D7AA67B" wp14:editId="1CE168AC">
                  <wp:extent cx="3019425" cy="24860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3019999" cy="2486498"/>
                          </a:xfrm>
                          <a:prstGeom prst="rect">
                            <a:avLst/>
                          </a:prstGeom>
                        </pic:spPr>
                      </pic:pic>
                    </a:graphicData>
                  </a:graphic>
                </wp:inline>
              </w:drawing>
            </w:r>
          </w:p>
        </w:tc>
        <w:tc>
          <w:tcPr>
            <w:tcW w:w="112" w:type="pct"/>
            <w:tcBorders>
              <w:top w:val="nil"/>
              <w:left w:val="nil"/>
              <w:bottom w:val="nil"/>
              <w:right w:val="nil"/>
            </w:tcBorders>
            <w:shd w:val="clear" w:color="auto" w:fill="auto"/>
            <w:tcMar>
              <w:top w:w="0" w:type="dxa"/>
              <w:left w:w="0" w:type="dxa"/>
              <w:bottom w:w="0" w:type="dxa"/>
              <w:right w:w="0" w:type="dxa"/>
            </w:tcMar>
          </w:tcPr>
          <w:p w14:paraId="5D7AA63E" w14:textId="77777777" w:rsidR="00202BF1" w:rsidRDefault="00202BF1">
            <w:pPr>
              <w:keepNext/>
              <w:keepLines/>
              <w:spacing w:line="240" w:lineRule="auto"/>
              <w:rPr>
                <w:sz w:val="14"/>
                <w:szCs w:val="14"/>
              </w:rPr>
            </w:pPr>
          </w:p>
        </w:tc>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5D7AA63F" w14:textId="77777777" w:rsidR="00202BF1" w:rsidRDefault="00331604">
            <w:pPr>
              <w:keepNext/>
              <w:keepLines/>
              <w:spacing w:line="240" w:lineRule="auto"/>
              <w:rPr>
                <w:sz w:val="14"/>
                <w:szCs w:val="14"/>
              </w:rPr>
            </w:pPr>
            <w:r>
              <w:rPr>
                <w:noProof/>
                <w:sz w:val="14"/>
              </w:rPr>
              <w:drawing>
                <wp:inline distT="0" distB="0" distL="0" distR="0" wp14:anchorId="5D7AA67D" wp14:editId="4EED720E">
                  <wp:extent cx="2362200" cy="24955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2200" cy="2495550"/>
                          </a:xfrm>
                          <a:prstGeom prst="rect">
                            <a:avLst/>
                          </a:prstGeom>
                        </pic:spPr>
                      </pic:pic>
                    </a:graphicData>
                  </a:graphic>
                </wp:inline>
              </w:drawing>
            </w:r>
          </w:p>
        </w:tc>
      </w:tr>
      <w:tr w:rsidR="00202BF1" w14:paraId="5D7AA644" w14:textId="77777777">
        <w:tc>
          <w:tcPr>
            <w:tcW w:w="2444" w:type="pct"/>
            <w:tcBorders>
              <w:top w:val="nil"/>
              <w:left w:val="nil"/>
              <w:bottom w:val="nil"/>
              <w:right w:val="nil"/>
            </w:tcBorders>
            <w:shd w:val="clear" w:color="auto" w:fill="auto"/>
            <w:tcMar>
              <w:top w:w="0" w:type="dxa"/>
              <w:left w:w="0" w:type="dxa"/>
              <w:bottom w:w="0" w:type="dxa"/>
              <w:right w:w="0" w:type="dxa"/>
            </w:tcMar>
          </w:tcPr>
          <w:p w14:paraId="5D7AA641" w14:textId="77777777" w:rsidR="00202BF1" w:rsidRDefault="00202BF1">
            <w:pPr>
              <w:keepNext/>
              <w:keepLines/>
              <w:spacing w:line="240" w:lineRule="auto"/>
              <w:rPr>
                <w:sz w:val="14"/>
                <w:szCs w:val="14"/>
              </w:rPr>
            </w:pPr>
          </w:p>
        </w:tc>
        <w:tc>
          <w:tcPr>
            <w:tcW w:w="112" w:type="pct"/>
            <w:tcBorders>
              <w:top w:val="nil"/>
              <w:left w:val="nil"/>
              <w:bottom w:val="nil"/>
              <w:right w:val="nil"/>
            </w:tcBorders>
            <w:shd w:val="clear" w:color="auto" w:fill="auto"/>
            <w:tcMar>
              <w:top w:w="0" w:type="dxa"/>
              <w:left w:w="0" w:type="dxa"/>
              <w:bottom w:w="0" w:type="dxa"/>
              <w:right w:w="0" w:type="dxa"/>
            </w:tcMar>
          </w:tcPr>
          <w:p w14:paraId="5D7AA642" w14:textId="77777777" w:rsidR="00202BF1" w:rsidRDefault="00202BF1">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5D7AA643" w14:textId="77777777" w:rsidR="00202BF1" w:rsidRDefault="00202BF1">
            <w:pPr>
              <w:keepNext/>
              <w:keepLines/>
              <w:spacing w:line="240" w:lineRule="auto"/>
              <w:rPr>
                <w:sz w:val="14"/>
                <w:szCs w:val="14"/>
              </w:rPr>
            </w:pPr>
          </w:p>
        </w:tc>
      </w:tr>
    </w:tbl>
    <w:p w14:paraId="6B9CBF06" w14:textId="77777777" w:rsidR="00526351" w:rsidRDefault="00526351">
      <w:pPr>
        <w:spacing w:line="240" w:lineRule="auto"/>
      </w:pPr>
    </w:p>
    <w:p w14:paraId="5D7AA64D" w14:textId="4C450A18" w:rsidR="00202BF1" w:rsidRDefault="00331604">
      <w:pPr>
        <w:spacing w:line="240" w:lineRule="auto"/>
      </w:pPr>
      <w:r>
        <w:br w:type="page"/>
      </w:r>
    </w:p>
    <w:p w14:paraId="5D7AA664" w14:textId="13E9BAD6" w:rsidR="00202BF1" w:rsidRDefault="00202BF1">
      <w:pPr>
        <w:spacing w:line="240" w:lineRule="auto"/>
      </w:pPr>
    </w:p>
    <w:tbl>
      <w:tblPr>
        <w:tblStyle w:val="TableSimple1"/>
        <w:tblW w:w="5000" w:type="pct"/>
        <w:tblLayout w:type="fixed"/>
        <w:tblCellMar>
          <w:left w:w="0" w:type="dxa"/>
          <w:right w:w="227" w:type="dxa"/>
        </w:tblCellMar>
        <w:tblLook w:val="04A0" w:firstRow="1" w:lastRow="0" w:firstColumn="1" w:lastColumn="0" w:noHBand="0" w:noVBand="1"/>
      </w:tblPr>
      <w:tblGrid>
        <w:gridCol w:w="3413"/>
        <w:gridCol w:w="3413"/>
        <w:gridCol w:w="2926"/>
      </w:tblGrid>
      <w:tr w:rsidR="00202BF1" w14:paraId="5D7AA66D" w14:textId="77777777">
        <w:tc>
          <w:tcPr>
            <w:tcW w:w="3500" w:type="pct"/>
            <w:gridSpan w:val="2"/>
            <w:tcBorders>
              <w:top w:val="nil"/>
              <w:left w:val="nil"/>
              <w:bottom w:val="nil"/>
              <w:right w:val="nil"/>
            </w:tcBorders>
            <w:shd w:val="clear" w:color="auto" w:fill="auto"/>
            <w:tcMar>
              <w:top w:w="0" w:type="dxa"/>
              <w:left w:w="0" w:type="dxa"/>
              <w:bottom w:w="0" w:type="dxa"/>
              <w:right w:w="227" w:type="dxa"/>
            </w:tcMar>
          </w:tcPr>
          <w:p w14:paraId="5D7AA665" w14:textId="77777777" w:rsidR="00202BF1" w:rsidRDefault="00331604">
            <w:pPr>
              <w:spacing w:before="240" w:after="240"/>
              <w:rPr>
                <w:sz w:val="20"/>
                <w:szCs w:val="20"/>
              </w:rPr>
            </w:pPr>
            <w:r>
              <w:rPr>
                <w:b/>
                <w:sz w:val="20"/>
              </w:rPr>
              <w:t>À propos de Häfele</w:t>
            </w:r>
          </w:p>
          <w:p w14:paraId="5D7AA666" w14:textId="77777777" w:rsidR="00202BF1" w:rsidRDefault="00331604">
            <w:pPr>
              <w:spacing w:before="240" w:after="240"/>
              <w:rPr>
                <w:sz w:val="20"/>
                <w:szCs w:val="20"/>
              </w:rPr>
            </w:pPr>
            <w:r>
              <w:rPr>
                <w:b/>
                <w:sz w:val="20"/>
              </w:rPr>
              <w:t>Häfele. Les 100 premières années.</w:t>
            </w:r>
          </w:p>
          <w:p w14:paraId="5D7AA667" w14:textId="746CBCF1" w:rsidR="00202BF1" w:rsidRDefault="00331604">
            <w:pPr>
              <w:spacing w:before="240" w:after="240"/>
              <w:rPr>
                <w:sz w:val="20"/>
                <w:szCs w:val="20"/>
              </w:rPr>
            </w:pPr>
            <w:r>
              <w:rPr>
                <w:sz w:val="20"/>
              </w:rPr>
              <w:t>Force d'innovation, courage et optimisme : ces qualités ont accompagné Häfele dès le début et caractérisaient déjà ses fondateurs – les commerçants Adolf Häfele et Hermann Funk, qui ont fondé Häfele en 1923 en tant que commerce de quincaillerie près de Nagold. Devenu une référence appréciée des menuisiers, il s'est transformé en une entreprise d'envergure mondiale, Häfele SE &amp; Co KG, avec des filiales dans 38 pays</w:t>
            </w:r>
            <w:r w:rsidR="00452926">
              <w:rPr>
                <w:sz w:val="20"/>
              </w:rPr>
              <w:t xml:space="preserve"> </w:t>
            </w:r>
            <w:r>
              <w:rPr>
                <w:sz w:val="20"/>
              </w:rPr>
              <w:t>employant plus de 8000 employés. Au cours de l'exercice 2022, le groupe Häfele a réalisé un chiffre d'affaires de 1,87 milliard d'euros avec une part d'exportation de 81%.</w:t>
            </w:r>
          </w:p>
          <w:p w14:paraId="5D7AA668" w14:textId="77777777" w:rsidR="00202BF1" w:rsidRDefault="00331604">
            <w:pPr>
              <w:spacing w:before="240" w:after="240"/>
              <w:rPr>
                <w:sz w:val="20"/>
                <w:szCs w:val="20"/>
              </w:rPr>
            </w:pPr>
            <w:r>
              <w:rPr>
                <w:sz w:val="20"/>
              </w:rPr>
              <w:t>Nagold est aujourd'hui encore le siège principal du groupe international Häfele, qui est devenu au fil des décennies une entreprise spécialisée dans les domaines des ferrures pour meubles, bâtiments, contrôle d’accès et de l'éclairage LED. L'industrie du meuble, les architectes, les artisans et les commerçants de plus de 150 pays font confiance à l'expertise de cette entreprise familiale innovante, dirigée depuis janvier 2023 par Gregor Riekena.</w:t>
            </w:r>
          </w:p>
          <w:p w14:paraId="5D7AA669" w14:textId="16CCA45E" w:rsidR="00202BF1" w:rsidRDefault="00091F8B">
            <w:pPr>
              <w:spacing w:before="240" w:after="240"/>
              <w:rPr>
                <w:sz w:val="20"/>
                <w:szCs w:val="20"/>
              </w:rPr>
            </w:pPr>
            <w:r>
              <w:rPr>
                <w:sz w:val="20"/>
              </w:rPr>
              <w:t xml:space="preserve">Pour Häfele, </w:t>
            </w:r>
            <w:r w:rsidR="00FB11F0">
              <w:rPr>
                <w:sz w:val="20"/>
              </w:rPr>
              <w:t>l</w:t>
            </w:r>
            <w:r w:rsidR="00331604">
              <w:rPr>
                <w:sz w:val="20"/>
              </w:rPr>
              <w:t xml:space="preserve">'année du jubilé est marquée </w:t>
            </w:r>
            <w:r w:rsidR="008F7551">
              <w:rPr>
                <w:sz w:val="20"/>
              </w:rPr>
              <w:t>tout autant p</w:t>
            </w:r>
            <w:r w:rsidR="00331604">
              <w:rPr>
                <w:sz w:val="20"/>
              </w:rPr>
              <w:t>ar s</w:t>
            </w:r>
            <w:r w:rsidR="008F7551">
              <w:rPr>
                <w:sz w:val="20"/>
              </w:rPr>
              <w:t>es</w:t>
            </w:r>
            <w:r w:rsidR="00331604">
              <w:rPr>
                <w:sz w:val="20"/>
              </w:rPr>
              <w:t xml:space="preserve"> origine</w:t>
            </w:r>
            <w:r>
              <w:rPr>
                <w:sz w:val="20"/>
              </w:rPr>
              <w:t>s</w:t>
            </w:r>
            <w:r w:rsidR="00331604">
              <w:rPr>
                <w:sz w:val="20"/>
              </w:rPr>
              <w:t xml:space="preserve"> que par le regard</w:t>
            </w:r>
            <w:r>
              <w:rPr>
                <w:sz w:val="20"/>
              </w:rPr>
              <w:t xml:space="preserve"> tourné</w:t>
            </w:r>
            <w:r w:rsidR="00331604">
              <w:rPr>
                <w:sz w:val="20"/>
              </w:rPr>
              <w:t xml:space="preserve"> vers l'avenir : </w:t>
            </w:r>
            <w:r>
              <w:rPr>
                <w:sz w:val="20"/>
              </w:rPr>
              <w:t>l’entreprise</w:t>
            </w:r>
            <w:r w:rsidR="00331604">
              <w:rPr>
                <w:sz w:val="20"/>
              </w:rPr>
              <w:t xml:space="preserve"> </w:t>
            </w:r>
            <w:r w:rsidR="00134956">
              <w:rPr>
                <w:sz w:val="20"/>
              </w:rPr>
              <w:t xml:space="preserve">fête </w:t>
            </w:r>
            <w:r w:rsidR="00331604">
              <w:rPr>
                <w:sz w:val="20"/>
              </w:rPr>
              <w:t>comme il se doit ses 100 ans d'existence – à Nagold et sur des sites sélectionnés dans le monde entier.</w:t>
            </w:r>
          </w:p>
          <w:p w14:paraId="5D7AA66A" w14:textId="13D8FD92" w:rsidR="00202BF1" w:rsidRDefault="00331604">
            <w:pPr>
              <w:spacing w:before="240" w:after="240"/>
              <w:rPr>
                <w:sz w:val="20"/>
                <w:szCs w:val="20"/>
              </w:rPr>
            </w:pPr>
            <w:r>
              <w:rPr>
                <w:sz w:val="20"/>
              </w:rPr>
              <w:t>Pour plus d'informations, voir</w:t>
            </w:r>
            <w:r w:rsidRPr="00B109EC">
              <w:rPr>
                <w:color w:val="auto"/>
                <w:sz w:val="20"/>
              </w:rPr>
              <w:t xml:space="preserve"> </w:t>
            </w:r>
            <w:hyperlink r:id="rId11" w:history="1">
              <w:r w:rsidR="003271C8" w:rsidRPr="006C1FC3">
                <w:rPr>
                  <w:rStyle w:val="Hyperlink"/>
                  <w:sz w:val="20"/>
                </w:rPr>
                <w:t>www.hafele.fr</w:t>
              </w:r>
            </w:hyperlink>
          </w:p>
          <w:p w14:paraId="5D7AA66B" w14:textId="77777777" w:rsidR="00202BF1" w:rsidRDefault="00331604">
            <w:pPr>
              <w:rPr>
                <w:sz w:val="20"/>
                <w:szCs w:val="20"/>
              </w:rPr>
            </w:pPr>
            <w:r>
              <w:rPr>
                <w:sz w:val="20"/>
              </w:rPr>
              <w:br/>
            </w:r>
          </w:p>
        </w:tc>
        <w:tc>
          <w:tcPr>
            <w:tcW w:w="1500" w:type="pct"/>
            <w:tcBorders>
              <w:top w:val="nil"/>
              <w:left w:val="nil"/>
              <w:bottom w:val="nil"/>
              <w:right w:val="nil"/>
            </w:tcBorders>
            <w:shd w:val="clear" w:color="auto" w:fill="auto"/>
            <w:tcMar>
              <w:top w:w="0" w:type="dxa"/>
              <w:left w:w="0" w:type="dxa"/>
              <w:bottom w:w="0" w:type="dxa"/>
              <w:right w:w="227" w:type="dxa"/>
            </w:tcMar>
          </w:tcPr>
          <w:p w14:paraId="5D7AA66C" w14:textId="77777777" w:rsidR="00202BF1" w:rsidRDefault="00331604">
            <w:pPr>
              <w:rPr>
                <w:sz w:val="20"/>
                <w:szCs w:val="20"/>
              </w:rPr>
            </w:pPr>
            <w:r>
              <w:rPr>
                <w:sz w:val="20"/>
              </w:rPr>
              <w:br/>
            </w:r>
          </w:p>
        </w:tc>
      </w:tr>
      <w:tr w:rsidR="00202BF1" w14:paraId="5D7AA670" w14:textId="77777777">
        <w:trPr>
          <w:gridAfter w:val="1"/>
          <w:wAfter w:w="2160" w:type="dxa"/>
        </w:trPr>
        <w:tc>
          <w:tcPr>
            <w:tcW w:w="2520" w:type="dxa"/>
            <w:tcBorders>
              <w:top w:val="nil"/>
              <w:left w:val="nil"/>
              <w:bottom w:val="nil"/>
              <w:right w:val="nil"/>
            </w:tcBorders>
            <w:shd w:val="clear" w:color="auto" w:fill="auto"/>
            <w:tcMar>
              <w:top w:w="0" w:type="dxa"/>
              <w:left w:w="0" w:type="dxa"/>
              <w:bottom w:w="0" w:type="dxa"/>
              <w:right w:w="227" w:type="dxa"/>
            </w:tcMar>
          </w:tcPr>
          <w:p w14:paraId="5D7AA66E" w14:textId="77777777" w:rsidR="00202BF1" w:rsidRDefault="00202BF1">
            <w:pPr>
              <w:rPr>
                <w:sz w:val="20"/>
                <w:szCs w:val="20"/>
              </w:rPr>
            </w:pPr>
          </w:p>
        </w:tc>
        <w:tc>
          <w:tcPr>
            <w:tcW w:w="2520" w:type="dxa"/>
            <w:tcBorders>
              <w:top w:val="nil"/>
              <w:left w:val="nil"/>
              <w:bottom w:val="nil"/>
              <w:right w:val="nil"/>
            </w:tcBorders>
            <w:shd w:val="clear" w:color="auto" w:fill="auto"/>
            <w:tcMar>
              <w:top w:w="0" w:type="dxa"/>
              <w:left w:w="0" w:type="dxa"/>
              <w:bottom w:w="0" w:type="dxa"/>
              <w:right w:w="227" w:type="dxa"/>
            </w:tcMar>
          </w:tcPr>
          <w:p w14:paraId="5D7AA66F" w14:textId="77777777" w:rsidR="00202BF1" w:rsidRDefault="00202BF1">
            <w:pPr>
              <w:rPr>
                <w:sz w:val="20"/>
                <w:szCs w:val="20"/>
              </w:rPr>
            </w:pPr>
          </w:p>
        </w:tc>
      </w:tr>
    </w:tbl>
    <w:p w14:paraId="5D7AA671" w14:textId="77777777" w:rsidR="00202BF1" w:rsidRDefault="00331604">
      <w:pPr>
        <w:spacing w:line="240" w:lineRule="auto"/>
      </w:pPr>
      <w:r>
        <w:br/>
      </w:r>
    </w:p>
    <w:p w14:paraId="5D7AA678" w14:textId="7808790C" w:rsidR="00202BF1" w:rsidRDefault="00331604">
      <w:r>
        <w:rPr>
          <w:sz w:val="18"/>
        </w:rPr>
        <w:br/>
      </w:r>
    </w:p>
    <w:sectPr w:rsidR="00202BF1">
      <w:headerReference w:type="default" r:id="rId12"/>
      <w:footerReference w:type="default" r:id="rId13"/>
      <w:headerReference w:type="first" r:id="rId14"/>
      <w:footerReference w:type="first" r:id="rId15"/>
      <w:pgSz w:w="11906" w:h="16838"/>
      <w:pgMar w:top="2154" w:right="1020" w:bottom="1134" w:left="1134" w:header="850"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528D" w14:textId="77777777" w:rsidR="00E16E3E" w:rsidRDefault="00E16E3E">
      <w:pPr>
        <w:spacing w:line="240" w:lineRule="auto"/>
      </w:pPr>
      <w:r>
        <w:separator/>
      </w:r>
    </w:p>
  </w:endnote>
  <w:endnote w:type="continuationSeparator" w:id="0">
    <w:p w14:paraId="6824B90A" w14:textId="77777777" w:rsidR="00E16E3E" w:rsidRDefault="00E16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5000" w:type="pct"/>
      <w:tblLayout w:type="fixed"/>
      <w:tblLook w:val="04A0" w:firstRow="1" w:lastRow="0" w:firstColumn="1" w:lastColumn="0" w:noHBand="0" w:noVBand="1"/>
    </w:tblPr>
    <w:tblGrid>
      <w:gridCol w:w="9557"/>
      <w:gridCol w:w="195"/>
    </w:tblGrid>
    <w:tr w:rsidR="00202BF1" w14:paraId="5D7AA690" w14:textId="77777777">
      <w:tc>
        <w:tcPr>
          <w:tcW w:w="4900" w:type="pct"/>
          <w:tcBorders>
            <w:top w:val="nil"/>
            <w:left w:val="nil"/>
            <w:bottom w:val="nil"/>
            <w:right w:val="nil"/>
          </w:tcBorders>
          <w:shd w:val="clear" w:color="auto" w:fill="auto"/>
          <w:tcMar>
            <w:top w:w="0" w:type="dxa"/>
            <w:left w:w="0" w:type="dxa"/>
            <w:bottom w:w="0" w:type="dxa"/>
            <w:right w:w="0" w:type="dxa"/>
          </w:tcMar>
          <w:vAlign w:val="bottom"/>
        </w:tcPr>
        <w:p w14:paraId="5D7AA68E" w14:textId="77777777" w:rsidR="00202BF1" w:rsidRDefault="00202BF1">
          <w:pPr>
            <w:rPr>
              <w:sz w:val="14"/>
              <w:szCs w:val="14"/>
            </w:rPr>
          </w:pPr>
        </w:p>
      </w:tc>
      <w:tc>
        <w:tcPr>
          <w:tcW w:w="100" w:type="pct"/>
          <w:tcBorders>
            <w:top w:val="nil"/>
            <w:left w:val="nil"/>
            <w:bottom w:val="nil"/>
            <w:right w:val="nil"/>
          </w:tcBorders>
          <w:shd w:val="clear" w:color="auto" w:fill="auto"/>
          <w:tcMar>
            <w:top w:w="0" w:type="dxa"/>
            <w:left w:w="0" w:type="dxa"/>
            <w:bottom w:w="0" w:type="dxa"/>
            <w:right w:w="0" w:type="dxa"/>
          </w:tcMar>
          <w:vAlign w:val="bottom"/>
        </w:tcPr>
        <w:p w14:paraId="5D7AA68F" w14:textId="77777777" w:rsidR="00202BF1" w:rsidRDefault="00202BF1">
          <w:pPr>
            <w:rPr>
              <w:sz w:val="14"/>
              <w:szCs w:val="14"/>
            </w:rPr>
          </w:pPr>
        </w:p>
      </w:tc>
    </w:tr>
  </w:tbl>
  <w:p w14:paraId="5D7AA691" w14:textId="77777777" w:rsidR="00202BF1" w:rsidRDefault="00202BF1">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5000" w:type="pct"/>
      <w:tblLayout w:type="fixed"/>
      <w:tblCellMar>
        <w:left w:w="0" w:type="dxa"/>
        <w:right w:w="0" w:type="dxa"/>
      </w:tblCellMar>
      <w:tblLook w:val="04A0" w:firstRow="1" w:lastRow="0" w:firstColumn="1" w:lastColumn="0" w:noHBand="0" w:noVBand="1"/>
    </w:tblPr>
    <w:tblGrid>
      <w:gridCol w:w="9557"/>
      <w:gridCol w:w="195"/>
    </w:tblGrid>
    <w:tr w:rsidR="00202BF1" w14:paraId="5D7AA695" w14:textId="77777777">
      <w:tc>
        <w:tcPr>
          <w:tcW w:w="4900" w:type="pct"/>
          <w:tcBorders>
            <w:top w:val="nil"/>
            <w:left w:val="nil"/>
            <w:bottom w:val="nil"/>
            <w:right w:val="nil"/>
          </w:tcBorders>
          <w:shd w:val="clear" w:color="auto" w:fill="auto"/>
          <w:tcMar>
            <w:top w:w="0" w:type="dxa"/>
            <w:left w:w="0" w:type="dxa"/>
            <w:bottom w:w="0" w:type="dxa"/>
            <w:right w:w="0" w:type="dxa"/>
          </w:tcMar>
          <w:vAlign w:val="bottom"/>
        </w:tcPr>
        <w:p w14:paraId="5D7AA693" w14:textId="77777777" w:rsidR="00202BF1" w:rsidRDefault="00202BF1">
          <w:pPr>
            <w:rPr>
              <w:sz w:val="14"/>
              <w:szCs w:val="14"/>
            </w:rPr>
          </w:pPr>
        </w:p>
      </w:tc>
      <w:tc>
        <w:tcPr>
          <w:tcW w:w="100" w:type="pct"/>
          <w:tcBorders>
            <w:top w:val="nil"/>
            <w:left w:val="nil"/>
            <w:bottom w:val="nil"/>
            <w:right w:val="nil"/>
          </w:tcBorders>
          <w:shd w:val="clear" w:color="auto" w:fill="auto"/>
          <w:tcMar>
            <w:top w:w="0" w:type="dxa"/>
            <w:left w:w="0" w:type="dxa"/>
            <w:bottom w:w="0" w:type="dxa"/>
            <w:right w:w="0" w:type="dxa"/>
          </w:tcMar>
          <w:vAlign w:val="bottom"/>
        </w:tcPr>
        <w:p w14:paraId="5D7AA694" w14:textId="77777777" w:rsidR="00202BF1" w:rsidRDefault="00202BF1">
          <w:pPr>
            <w:rPr>
              <w:sz w:val="14"/>
              <w:szCs w:val="14"/>
            </w:rPr>
          </w:pPr>
        </w:p>
      </w:tc>
    </w:tr>
  </w:tbl>
  <w:p w14:paraId="5D7AA696" w14:textId="77777777" w:rsidR="00202BF1" w:rsidRDefault="00202BF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D125B" w14:textId="77777777" w:rsidR="00E16E3E" w:rsidRDefault="00E16E3E">
      <w:pPr>
        <w:spacing w:line="240" w:lineRule="auto"/>
      </w:pPr>
      <w:r>
        <w:separator/>
      </w:r>
    </w:p>
  </w:footnote>
  <w:footnote w:type="continuationSeparator" w:id="0">
    <w:p w14:paraId="1C7FC5DC" w14:textId="77777777" w:rsidR="00E16E3E" w:rsidRDefault="00E16E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A68D" w14:textId="77777777" w:rsidR="00202BF1" w:rsidRDefault="00331604">
    <w:r>
      <w:rPr>
        <w:noProof/>
      </w:rPr>
      <w:drawing>
        <wp:anchor distT="0" distB="0" distL="114300" distR="114300" simplePos="0" relativeHeight="251659264" behindDoc="0" locked="0" layoutInCell="0" allowOverlap="0" wp14:anchorId="5D7AA697" wp14:editId="632B303C">
          <wp:simplePos x="0" y="0"/>
          <wp:positionH relativeFrom="page">
            <wp:posOffset>5143500</wp:posOffset>
          </wp:positionH>
          <wp:positionV relativeFrom="page">
            <wp:posOffset>542925</wp:posOffset>
          </wp:positionV>
          <wp:extent cx="848995" cy="588010"/>
          <wp:effectExtent l="0" t="0" r="8255" b="254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48995" cy="588010"/>
                  </a:xfrm>
                  <a:prstGeom prst="rect">
                    <a:avLst/>
                  </a:prstGeom>
                </pic:spPr>
              </pic:pic>
            </a:graphicData>
          </a:graphic>
        </wp:anchor>
      </w:drawing>
    </w:r>
    <w:r>
      <w:rPr>
        <w:b/>
      </w:rPr>
      <w:t>COMMUNIQUÉ DE PRESSE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A692" w14:textId="77777777" w:rsidR="00202BF1" w:rsidRDefault="00331604">
    <w:r>
      <w:rPr>
        <w:noProof/>
      </w:rPr>
      <w:drawing>
        <wp:anchor distT="0" distB="0" distL="114300" distR="114300" simplePos="0" relativeHeight="251658240" behindDoc="0" locked="0" layoutInCell="0" allowOverlap="0" wp14:anchorId="5D7AA699" wp14:editId="4E204EC9">
          <wp:simplePos x="0" y="0"/>
          <wp:positionH relativeFrom="page">
            <wp:posOffset>5143500</wp:posOffset>
          </wp:positionH>
          <wp:positionV relativeFrom="page">
            <wp:posOffset>542925</wp:posOffset>
          </wp:positionV>
          <wp:extent cx="848995" cy="588010"/>
          <wp:effectExtent l="0" t="0" r="8255" b="254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8995" cy="588010"/>
                  </a:xfrm>
                  <a:prstGeom prst="rect">
                    <a:avLst/>
                  </a:prstGeom>
                </pic:spPr>
              </pic:pic>
            </a:graphicData>
          </a:graphic>
        </wp:anchor>
      </w:drawing>
    </w:r>
    <w:r>
      <w:rPr>
        <w:b/>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E12A8"/>
    <w:multiLevelType w:val="hybridMultilevel"/>
    <w:tmpl w:val="E65CFA72"/>
    <w:lvl w:ilvl="0" w:tplc="0409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2CA27D6B"/>
    <w:multiLevelType w:val="hybridMultilevel"/>
    <w:tmpl w:val="72744862"/>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D73071"/>
    <w:multiLevelType w:val="hybridMultilevel"/>
    <w:tmpl w:val="1D62A276"/>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5A0E0F"/>
    <w:multiLevelType w:val="hybridMultilevel"/>
    <w:tmpl w:val="0A027374"/>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4129355">
    <w:abstractNumId w:val="1"/>
  </w:num>
  <w:num w:numId="2" w16cid:durableId="1643462882">
    <w:abstractNumId w:val="3"/>
  </w:num>
  <w:num w:numId="3" w16cid:durableId="1653171829">
    <w:abstractNumId w:val="2"/>
  </w:num>
  <w:num w:numId="4" w16cid:durableId="155570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F1"/>
    <w:rsid w:val="00007349"/>
    <w:rsid w:val="000113AF"/>
    <w:rsid w:val="00016252"/>
    <w:rsid w:val="000234F3"/>
    <w:rsid w:val="0002403B"/>
    <w:rsid w:val="00026598"/>
    <w:rsid w:val="0003338C"/>
    <w:rsid w:val="00034D22"/>
    <w:rsid w:val="00040197"/>
    <w:rsid w:val="00051AC8"/>
    <w:rsid w:val="00051DB4"/>
    <w:rsid w:val="0005363F"/>
    <w:rsid w:val="00056BE2"/>
    <w:rsid w:val="00062217"/>
    <w:rsid w:val="000649F1"/>
    <w:rsid w:val="00065A3C"/>
    <w:rsid w:val="0007557B"/>
    <w:rsid w:val="00083825"/>
    <w:rsid w:val="00083A6D"/>
    <w:rsid w:val="00087F0C"/>
    <w:rsid w:val="00091F8B"/>
    <w:rsid w:val="00093030"/>
    <w:rsid w:val="00096754"/>
    <w:rsid w:val="000A55EC"/>
    <w:rsid w:val="000B1753"/>
    <w:rsid w:val="000C0D28"/>
    <w:rsid w:val="000D1A44"/>
    <w:rsid w:val="000D5695"/>
    <w:rsid w:val="000D5DE7"/>
    <w:rsid w:val="000E44F1"/>
    <w:rsid w:val="000E6362"/>
    <w:rsid w:val="000F0D45"/>
    <w:rsid w:val="00105981"/>
    <w:rsid w:val="00111964"/>
    <w:rsid w:val="00112539"/>
    <w:rsid w:val="00122409"/>
    <w:rsid w:val="0012323D"/>
    <w:rsid w:val="001238D6"/>
    <w:rsid w:val="00124A6C"/>
    <w:rsid w:val="00126C55"/>
    <w:rsid w:val="00134956"/>
    <w:rsid w:val="00135C93"/>
    <w:rsid w:val="0013704D"/>
    <w:rsid w:val="00151DB2"/>
    <w:rsid w:val="001544EF"/>
    <w:rsid w:val="0015737B"/>
    <w:rsid w:val="00157EBE"/>
    <w:rsid w:val="0016733D"/>
    <w:rsid w:val="0017028D"/>
    <w:rsid w:val="00170FC6"/>
    <w:rsid w:val="001A15A0"/>
    <w:rsid w:val="001A4E7B"/>
    <w:rsid w:val="001A7DED"/>
    <w:rsid w:val="001C2898"/>
    <w:rsid w:val="001C4E94"/>
    <w:rsid w:val="001C50F9"/>
    <w:rsid w:val="001C5CD9"/>
    <w:rsid w:val="001D3B80"/>
    <w:rsid w:val="001D5AF7"/>
    <w:rsid w:val="001D62F6"/>
    <w:rsid w:val="001E046B"/>
    <w:rsid w:val="001E7940"/>
    <w:rsid w:val="001F4785"/>
    <w:rsid w:val="00201D3C"/>
    <w:rsid w:val="00202BF1"/>
    <w:rsid w:val="00205047"/>
    <w:rsid w:val="00226DB9"/>
    <w:rsid w:val="002319D9"/>
    <w:rsid w:val="002337DD"/>
    <w:rsid w:val="0023780B"/>
    <w:rsid w:val="00245F97"/>
    <w:rsid w:val="0026415F"/>
    <w:rsid w:val="00274F48"/>
    <w:rsid w:val="002807A4"/>
    <w:rsid w:val="00284B1F"/>
    <w:rsid w:val="002974DB"/>
    <w:rsid w:val="00297CE4"/>
    <w:rsid w:val="002B44D4"/>
    <w:rsid w:val="002C1D23"/>
    <w:rsid w:val="002D1913"/>
    <w:rsid w:val="002F4A46"/>
    <w:rsid w:val="0032154C"/>
    <w:rsid w:val="003251A2"/>
    <w:rsid w:val="003271C8"/>
    <w:rsid w:val="00331604"/>
    <w:rsid w:val="0033561C"/>
    <w:rsid w:val="00364F10"/>
    <w:rsid w:val="00372A64"/>
    <w:rsid w:val="003805AD"/>
    <w:rsid w:val="00380BAD"/>
    <w:rsid w:val="00381A94"/>
    <w:rsid w:val="00387418"/>
    <w:rsid w:val="00387F4E"/>
    <w:rsid w:val="003913C4"/>
    <w:rsid w:val="00393328"/>
    <w:rsid w:val="003934E5"/>
    <w:rsid w:val="003A34B2"/>
    <w:rsid w:val="003C3714"/>
    <w:rsid w:val="003C3F38"/>
    <w:rsid w:val="003D0053"/>
    <w:rsid w:val="003D04E8"/>
    <w:rsid w:val="003D0CC3"/>
    <w:rsid w:val="003D1E40"/>
    <w:rsid w:val="003E1A4D"/>
    <w:rsid w:val="003F70A5"/>
    <w:rsid w:val="0041388D"/>
    <w:rsid w:val="00414F33"/>
    <w:rsid w:val="00416294"/>
    <w:rsid w:val="004163E2"/>
    <w:rsid w:val="00421076"/>
    <w:rsid w:val="00424DA3"/>
    <w:rsid w:val="00433E46"/>
    <w:rsid w:val="0043621B"/>
    <w:rsid w:val="004409C6"/>
    <w:rsid w:val="00452926"/>
    <w:rsid w:val="00455000"/>
    <w:rsid w:val="00461656"/>
    <w:rsid w:val="00473155"/>
    <w:rsid w:val="004753E3"/>
    <w:rsid w:val="00475B4F"/>
    <w:rsid w:val="0048353A"/>
    <w:rsid w:val="004A7BF1"/>
    <w:rsid w:val="004B14D8"/>
    <w:rsid w:val="004C11FF"/>
    <w:rsid w:val="004C1B9F"/>
    <w:rsid w:val="004F050E"/>
    <w:rsid w:val="004F39AE"/>
    <w:rsid w:val="004F39B4"/>
    <w:rsid w:val="004F549D"/>
    <w:rsid w:val="0050028B"/>
    <w:rsid w:val="00502DD0"/>
    <w:rsid w:val="00503D2A"/>
    <w:rsid w:val="00505006"/>
    <w:rsid w:val="005066EE"/>
    <w:rsid w:val="00507CFF"/>
    <w:rsid w:val="00515D46"/>
    <w:rsid w:val="00515E3E"/>
    <w:rsid w:val="00523E83"/>
    <w:rsid w:val="00526351"/>
    <w:rsid w:val="00526888"/>
    <w:rsid w:val="005336BE"/>
    <w:rsid w:val="00534034"/>
    <w:rsid w:val="00547B6F"/>
    <w:rsid w:val="005516F5"/>
    <w:rsid w:val="00551907"/>
    <w:rsid w:val="00552B56"/>
    <w:rsid w:val="00556610"/>
    <w:rsid w:val="00571DE6"/>
    <w:rsid w:val="00576A5C"/>
    <w:rsid w:val="00580360"/>
    <w:rsid w:val="005839AE"/>
    <w:rsid w:val="00586A63"/>
    <w:rsid w:val="00594913"/>
    <w:rsid w:val="005A7A1D"/>
    <w:rsid w:val="005B4AF5"/>
    <w:rsid w:val="005C2E0F"/>
    <w:rsid w:val="005D3447"/>
    <w:rsid w:val="005D39E3"/>
    <w:rsid w:val="005F5B3D"/>
    <w:rsid w:val="005F617B"/>
    <w:rsid w:val="0060186A"/>
    <w:rsid w:val="00602730"/>
    <w:rsid w:val="0060694A"/>
    <w:rsid w:val="00615CA1"/>
    <w:rsid w:val="0062327B"/>
    <w:rsid w:val="00642104"/>
    <w:rsid w:val="006526D5"/>
    <w:rsid w:val="0065600B"/>
    <w:rsid w:val="00656570"/>
    <w:rsid w:val="00656F87"/>
    <w:rsid w:val="00660C9B"/>
    <w:rsid w:val="00661CB4"/>
    <w:rsid w:val="00664B25"/>
    <w:rsid w:val="00665B20"/>
    <w:rsid w:val="006660C7"/>
    <w:rsid w:val="006679C8"/>
    <w:rsid w:val="006703FF"/>
    <w:rsid w:val="00683585"/>
    <w:rsid w:val="00684971"/>
    <w:rsid w:val="006A46EF"/>
    <w:rsid w:val="006A68C9"/>
    <w:rsid w:val="006B0D0E"/>
    <w:rsid w:val="006B193D"/>
    <w:rsid w:val="006B2764"/>
    <w:rsid w:val="006B2848"/>
    <w:rsid w:val="006B439A"/>
    <w:rsid w:val="006C7952"/>
    <w:rsid w:val="006E3CC6"/>
    <w:rsid w:val="006E4F56"/>
    <w:rsid w:val="006E6C2B"/>
    <w:rsid w:val="006F1F75"/>
    <w:rsid w:val="006F52D7"/>
    <w:rsid w:val="00710F2B"/>
    <w:rsid w:val="007174BA"/>
    <w:rsid w:val="00722876"/>
    <w:rsid w:val="00724AC9"/>
    <w:rsid w:val="00725368"/>
    <w:rsid w:val="00731F7E"/>
    <w:rsid w:val="007449E8"/>
    <w:rsid w:val="00745C11"/>
    <w:rsid w:val="00747CAC"/>
    <w:rsid w:val="00753A3A"/>
    <w:rsid w:val="00756E73"/>
    <w:rsid w:val="0075786B"/>
    <w:rsid w:val="00765328"/>
    <w:rsid w:val="0077554A"/>
    <w:rsid w:val="00780D0B"/>
    <w:rsid w:val="00793254"/>
    <w:rsid w:val="0079612F"/>
    <w:rsid w:val="007A0151"/>
    <w:rsid w:val="007A1495"/>
    <w:rsid w:val="007A32DE"/>
    <w:rsid w:val="007B5224"/>
    <w:rsid w:val="007B734F"/>
    <w:rsid w:val="007C3608"/>
    <w:rsid w:val="007C690E"/>
    <w:rsid w:val="007D16B2"/>
    <w:rsid w:val="007F06F9"/>
    <w:rsid w:val="0080496D"/>
    <w:rsid w:val="0080746E"/>
    <w:rsid w:val="008076DD"/>
    <w:rsid w:val="00812928"/>
    <w:rsid w:val="00816DC0"/>
    <w:rsid w:val="00817C76"/>
    <w:rsid w:val="00824D87"/>
    <w:rsid w:val="00830A78"/>
    <w:rsid w:val="00842060"/>
    <w:rsid w:val="00847CFE"/>
    <w:rsid w:val="00850934"/>
    <w:rsid w:val="0085235F"/>
    <w:rsid w:val="00855B53"/>
    <w:rsid w:val="00860FB7"/>
    <w:rsid w:val="008802EF"/>
    <w:rsid w:val="0088035D"/>
    <w:rsid w:val="008827EC"/>
    <w:rsid w:val="00885347"/>
    <w:rsid w:val="008869F1"/>
    <w:rsid w:val="0089202C"/>
    <w:rsid w:val="00893330"/>
    <w:rsid w:val="0089398C"/>
    <w:rsid w:val="0089506C"/>
    <w:rsid w:val="008A13FB"/>
    <w:rsid w:val="008A1F69"/>
    <w:rsid w:val="008A2F52"/>
    <w:rsid w:val="008A482C"/>
    <w:rsid w:val="008B050F"/>
    <w:rsid w:val="008B296F"/>
    <w:rsid w:val="008C32E3"/>
    <w:rsid w:val="008C6C05"/>
    <w:rsid w:val="008D5837"/>
    <w:rsid w:val="008E04D3"/>
    <w:rsid w:val="008E1B01"/>
    <w:rsid w:val="008E2C43"/>
    <w:rsid w:val="008E69D8"/>
    <w:rsid w:val="008F17DB"/>
    <w:rsid w:val="008F21C2"/>
    <w:rsid w:val="008F7551"/>
    <w:rsid w:val="00913BED"/>
    <w:rsid w:val="009151DD"/>
    <w:rsid w:val="00916343"/>
    <w:rsid w:val="009202A5"/>
    <w:rsid w:val="00925230"/>
    <w:rsid w:val="00932E2B"/>
    <w:rsid w:val="00935862"/>
    <w:rsid w:val="00940A91"/>
    <w:rsid w:val="009442FC"/>
    <w:rsid w:val="0095003D"/>
    <w:rsid w:val="009517D1"/>
    <w:rsid w:val="00951D84"/>
    <w:rsid w:val="009542A7"/>
    <w:rsid w:val="00956373"/>
    <w:rsid w:val="00956B45"/>
    <w:rsid w:val="00956DF0"/>
    <w:rsid w:val="00970B15"/>
    <w:rsid w:val="00976364"/>
    <w:rsid w:val="00980674"/>
    <w:rsid w:val="00990580"/>
    <w:rsid w:val="00994BFE"/>
    <w:rsid w:val="009A0701"/>
    <w:rsid w:val="009A28DF"/>
    <w:rsid w:val="009A3495"/>
    <w:rsid w:val="009A485F"/>
    <w:rsid w:val="009B502A"/>
    <w:rsid w:val="009B65FF"/>
    <w:rsid w:val="009C4372"/>
    <w:rsid w:val="009D4BD3"/>
    <w:rsid w:val="009D4F44"/>
    <w:rsid w:val="009D79D5"/>
    <w:rsid w:val="009E0C7E"/>
    <w:rsid w:val="00A1088E"/>
    <w:rsid w:val="00A118A4"/>
    <w:rsid w:val="00A25C6C"/>
    <w:rsid w:val="00A3039F"/>
    <w:rsid w:val="00A34655"/>
    <w:rsid w:val="00A405C4"/>
    <w:rsid w:val="00A43646"/>
    <w:rsid w:val="00A61C94"/>
    <w:rsid w:val="00A62644"/>
    <w:rsid w:val="00A86E28"/>
    <w:rsid w:val="00A871EA"/>
    <w:rsid w:val="00A912AA"/>
    <w:rsid w:val="00A928AC"/>
    <w:rsid w:val="00AA71F6"/>
    <w:rsid w:val="00AB31E2"/>
    <w:rsid w:val="00AC27D3"/>
    <w:rsid w:val="00AD4B6F"/>
    <w:rsid w:val="00AD5734"/>
    <w:rsid w:val="00AE0D13"/>
    <w:rsid w:val="00AE0EAD"/>
    <w:rsid w:val="00AE7D8C"/>
    <w:rsid w:val="00AF0925"/>
    <w:rsid w:val="00B020C0"/>
    <w:rsid w:val="00B03B5B"/>
    <w:rsid w:val="00B050DB"/>
    <w:rsid w:val="00B06F2B"/>
    <w:rsid w:val="00B109EC"/>
    <w:rsid w:val="00B15B8F"/>
    <w:rsid w:val="00B17512"/>
    <w:rsid w:val="00B17D77"/>
    <w:rsid w:val="00B21C53"/>
    <w:rsid w:val="00B256D5"/>
    <w:rsid w:val="00B278B2"/>
    <w:rsid w:val="00B27DC1"/>
    <w:rsid w:val="00B32F4B"/>
    <w:rsid w:val="00B36F20"/>
    <w:rsid w:val="00B4545E"/>
    <w:rsid w:val="00B510D5"/>
    <w:rsid w:val="00B510F0"/>
    <w:rsid w:val="00B6667B"/>
    <w:rsid w:val="00B72B7E"/>
    <w:rsid w:val="00B75B11"/>
    <w:rsid w:val="00B8159E"/>
    <w:rsid w:val="00B86DC1"/>
    <w:rsid w:val="00BD31C8"/>
    <w:rsid w:val="00BD732B"/>
    <w:rsid w:val="00BE262A"/>
    <w:rsid w:val="00BE636C"/>
    <w:rsid w:val="00BE7E62"/>
    <w:rsid w:val="00BF370B"/>
    <w:rsid w:val="00BF5841"/>
    <w:rsid w:val="00C02148"/>
    <w:rsid w:val="00C05259"/>
    <w:rsid w:val="00C243DC"/>
    <w:rsid w:val="00C261B1"/>
    <w:rsid w:val="00C265AE"/>
    <w:rsid w:val="00C359AA"/>
    <w:rsid w:val="00C51B22"/>
    <w:rsid w:val="00C61A9A"/>
    <w:rsid w:val="00C62F12"/>
    <w:rsid w:val="00C65135"/>
    <w:rsid w:val="00C67271"/>
    <w:rsid w:val="00C854AB"/>
    <w:rsid w:val="00C92A3A"/>
    <w:rsid w:val="00C947C7"/>
    <w:rsid w:val="00CA53F8"/>
    <w:rsid w:val="00CB4420"/>
    <w:rsid w:val="00CB5FDE"/>
    <w:rsid w:val="00CC0E09"/>
    <w:rsid w:val="00CD562C"/>
    <w:rsid w:val="00CD6D0A"/>
    <w:rsid w:val="00CE0289"/>
    <w:rsid w:val="00CE5038"/>
    <w:rsid w:val="00CF063D"/>
    <w:rsid w:val="00D04B52"/>
    <w:rsid w:val="00D05A2E"/>
    <w:rsid w:val="00D131A6"/>
    <w:rsid w:val="00D23AB1"/>
    <w:rsid w:val="00D27AEC"/>
    <w:rsid w:val="00D30478"/>
    <w:rsid w:val="00D37C07"/>
    <w:rsid w:val="00D41513"/>
    <w:rsid w:val="00D42E40"/>
    <w:rsid w:val="00D50861"/>
    <w:rsid w:val="00D6089D"/>
    <w:rsid w:val="00D80505"/>
    <w:rsid w:val="00D82BF9"/>
    <w:rsid w:val="00D872F9"/>
    <w:rsid w:val="00D91B40"/>
    <w:rsid w:val="00D96542"/>
    <w:rsid w:val="00DA574F"/>
    <w:rsid w:val="00DB4DA5"/>
    <w:rsid w:val="00DC08EF"/>
    <w:rsid w:val="00DC4127"/>
    <w:rsid w:val="00DD5D0C"/>
    <w:rsid w:val="00DE1406"/>
    <w:rsid w:val="00DE3C41"/>
    <w:rsid w:val="00DE6B6A"/>
    <w:rsid w:val="00DF231C"/>
    <w:rsid w:val="00E0048E"/>
    <w:rsid w:val="00E018F6"/>
    <w:rsid w:val="00E025B2"/>
    <w:rsid w:val="00E16E3E"/>
    <w:rsid w:val="00E22B51"/>
    <w:rsid w:val="00E2383B"/>
    <w:rsid w:val="00E361B4"/>
    <w:rsid w:val="00E4302C"/>
    <w:rsid w:val="00E460CE"/>
    <w:rsid w:val="00E479A9"/>
    <w:rsid w:val="00E628DE"/>
    <w:rsid w:val="00E6561C"/>
    <w:rsid w:val="00E773CA"/>
    <w:rsid w:val="00E9587A"/>
    <w:rsid w:val="00E95B70"/>
    <w:rsid w:val="00E95F95"/>
    <w:rsid w:val="00EB1984"/>
    <w:rsid w:val="00EB2DC3"/>
    <w:rsid w:val="00EB5250"/>
    <w:rsid w:val="00EC483C"/>
    <w:rsid w:val="00EC6FC9"/>
    <w:rsid w:val="00EE1F79"/>
    <w:rsid w:val="00EF50DC"/>
    <w:rsid w:val="00F03AC0"/>
    <w:rsid w:val="00F05251"/>
    <w:rsid w:val="00F052BB"/>
    <w:rsid w:val="00F074CE"/>
    <w:rsid w:val="00F10920"/>
    <w:rsid w:val="00F12BDE"/>
    <w:rsid w:val="00F34B3D"/>
    <w:rsid w:val="00F55AFC"/>
    <w:rsid w:val="00F62EFD"/>
    <w:rsid w:val="00F64E4A"/>
    <w:rsid w:val="00F672B3"/>
    <w:rsid w:val="00F704A5"/>
    <w:rsid w:val="00FA22F1"/>
    <w:rsid w:val="00FA3852"/>
    <w:rsid w:val="00FA4580"/>
    <w:rsid w:val="00FA4682"/>
    <w:rsid w:val="00FA47AE"/>
    <w:rsid w:val="00FB11F0"/>
    <w:rsid w:val="00FB4E52"/>
    <w:rsid w:val="00FC2A57"/>
    <w:rsid w:val="00FC3D17"/>
    <w:rsid w:val="00FD3BD0"/>
    <w:rsid w:val="00FE0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A61A"/>
  <w15:docId w15:val="{328A9F21-0770-2545-9727-C52AFEE1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24"/>
        <w:szCs w:val="24"/>
        <w:lang w:val="fr-FR" w:eastAsia="de-DE"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8E1B01"/>
    <w:rPr>
      <w:color w:val="605E5C"/>
      <w:shd w:val="clear" w:color="auto" w:fill="E1DFDD"/>
    </w:rPr>
  </w:style>
  <w:style w:type="paragraph" w:styleId="ListParagraph">
    <w:name w:val="List Paragraph"/>
    <w:basedOn w:val="Normal"/>
    <w:uiPriority w:val="34"/>
    <w:qFormat/>
    <w:rsid w:val="00660C9B"/>
    <w:pPr>
      <w:ind w:left="720"/>
      <w:contextualSpacing/>
    </w:pPr>
  </w:style>
  <w:style w:type="paragraph" w:styleId="Header">
    <w:name w:val="header"/>
    <w:basedOn w:val="Normal"/>
    <w:link w:val="HeaderChar"/>
    <w:uiPriority w:val="99"/>
    <w:unhideWhenUsed/>
    <w:rsid w:val="000E44F1"/>
    <w:pPr>
      <w:tabs>
        <w:tab w:val="center" w:pos="4513"/>
        <w:tab w:val="right" w:pos="9026"/>
      </w:tabs>
      <w:spacing w:line="240" w:lineRule="auto"/>
    </w:pPr>
  </w:style>
  <w:style w:type="character" w:customStyle="1" w:styleId="HeaderChar">
    <w:name w:val="Header Char"/>
    <w:basedOn w:val="DefaultParagraphFont"/>
    <w:link w:val="Header"/>
    <w:uiPriority w:val="99"/>
    <w:rsid w:val="000E44F1"/>
  </w:style>
  <w:style w:type="paragraph" w:styleId="Footer">
    <w:name w:val="footer"/>
    <w:basedOn w:val="Normal"/>
    <w:link w:val="FooterChar"/>
    <w:uiPriority w:val="99"/>
    <w:unhideWhenUsed/>
    <w:rsid w:val="000E44F1"/>
    <w:pPr>
      <w:tabs>
        <w:tab w:val="center" w:pos="4513"/>
        <w:tab w:val="right" w:pos="9026"/>
      </w:tabs>
      <w:spacing w:line="240" w:lineRule="auto"/>
    </w:pPr>
  </w:style>
  <w:style w:type="character" w:customStyle="1" w:styleId="FooterChar">
    <w:name w:val="Footer Char"/>
    <w:basedOn w:val="DefaultParagraphFont"/>
    <w:link w:val="Footer"/>
    <w:uiPriority w:val="99"/>
    <w:rsid w:val="000E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essrelease.bering-kopal.de/de/pressrelease/haefele_haefele-wird-1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fele.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jrosereau@hafele.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888</TotalTime>
  <Pages>5</Pages>
  <Words>1465</Words>
  <Characters>8058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Gruenler, Sarah</dc:creator>
  <cp:lastModifiedBy>Laquay, Gregoire</cp:lastModifiedBy>
  <cp:revision>447</cp:revision>
  <cp:lastPrinted>2023-10-31T13:19:00Z</cp:lastPrinted>
  <dcterms:created xsi:type="dcterms:W3CDTF">2023-09-20T07:49:00Z</dcterms:created>
  <dcterms:modified xsi:type="dcterms:W3CDTF">2023-10-31T13:28:00Z</dcterms:modified>
</cp:coreProperties>
</file>